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tblpY="-495"/>
        <w:tblW w:w="0" w:type="auto"/>
        <w:tblInd w:w="0" w:type="dxa"/>
        <w:tblLayout w:type="fixed"/>
        <w:tblCellMar>
          <w:top w:w="0" w:type="dxa"/>
          <w:left w:w="108" w:type="dxa"/>
          <w:bottom w:w="0" w:type="dxa"/>
          <w:right w:w="108" w:type="dxa"/>
        </w:tblCellMar>
      </w:tblPr>
      <w:tblGrid>
        <w:gridCol w:w="9076"/>
      </w:tblGrid>
      <w:tr>
        <w:tblPrEx>
          <w:tblCellMar>
            <w:top w:w="0" w:type="dxa"/>
            <w:left w:w="108" w:type="dxa"/>
            <w:bottom w:w="0" w:type="dxa"/>
            <w:right w:w="108" w:type="dxa"/>
          </w:tblCellMar>
        </w:tblPrEx>
        <w:trPr>
          <w:trHeight w:val="2020" w:hRule="atLeast"/>
        </w:trPr>
        <w:tc>
          <w:tcPr>
            <w:tcW w:w="9076" w:type="dxa"/>
            <w:noWrap w:val="0"/>
            <w:vAlign w:val="top"/>
          </w:tcPr>
          <w:p>
            <w:pPr>
              <w:pStyle w:val="8"/>
              <w:rPr>
                <w:rFonts w:ascii="黑体" w:hAnsi="黑体" w:eastAsia="黑体"/>
                <w:caps/>
                <w:sz w:val="32"/>
                <w:szCs w:val="32"/>
              </w:rPr>
            </w:pPr>
          </w:p>
        </w:tc>
      </w:tr>
      <w:tr>
        <w:tblPrEx>
          <w:tblCellMar>
            <w:top w:w="0" w:type="dxa"/>
            <w:left w:w="108" w:type="dxa"/>
            <w:bottom w:w="0" w:type="dxa"/>
            <w:right w:w="108" w:type="dxa"/>
          </w:tblCellMar>
        </w:tblPrEx>
        <w:trPr>
          <w:trHeight w:val="1521" w:hRule="atLeast"/>
        </w:trPr>
        <w:tc>
          <w:tcPr>
            <w:tcW w:w="9076" w:type="dxa"/>
            <w:tcBorders>
              <w:bottom w:val="single" w:color="4F81BD" w:sz="4" w:space="0"/>
            </w:tcBorders>
            <w:noWrap w:val="0"/>
            <w:vAlign w:val="center"/>
          </w:tcPr>
          <w:p>
            <w:pPr>
              <w:pStyle w:val="8"/>
              <w:jc w:val="center"/>
              <w:rPr>
                <w:rFonts w:hint="default" w:ascii="方正小标宋简体" w:hAnsi="Cambria" w:eastAsia="方正小标宋简体"/>
                <w:sz w:val="80"/>
                <w:szCs w:val="80"/>
                <w:lang w:val="en-US" w:eastAsia="zh-CN"/>
              </w:rPr>
            </w:pPr>
            <w:r>
              <w:rPr>
                <w:rFonts w:hint="eastAsia" w:ascii="方正小标宋简体" w:hAnsi="Cambria" w:eastAsia="方正小标宋简体"/>
                <w:sz w:val="70"/>
                <w:szCs w:val="70"/>
                <w:lang w:eastAsia="zh-CN"/>
              </w:rPr>
              <w:t>202</w:t>
            </w:r>
            <w:r>
              <w:rPr>
                <w:rFonts w:hint="eastAsia" w:ascii="方正小标宋简体" w:hAnsi="Cambria" w:eastAsia="方正小标宋简体"/>
                <w:sz w:val="70"/>
                <w:szCs w:val="70"/>
                <w:lang w:val="en-US" w:eastAsia="zh-CN"/>
              </w:rPr>
              <w:t>4</w:t>
            </w:r>
            <w:r>
              <w:rPr>
                <w:rFonts w:hint="eastAsia" w:ascii="方正小标宋简体" w:hAnsi="Cambria" w:eastAsia="方正小标宋简体"/>
                <w:sz w:val="70"/>
                <w:szCs w:val="70"/>
                <w:lang w:eastAsia="zh-CN"/>
              </w:rPr>
              <w:t>年</w:t>
            </w:r>
            <w:r>
              <w:rPr>
                <w:rFonts w:hint="eastAsia" w:ascii="方正小标宋简体" w:hAnsi="Cambria" w:eastAsia="方正小标宋简体"/>
                <w:sz w:val="70"/>
                <w:szCs w:val="70"/>
              </w:rPr>
              <w:t>度部门预算</w:t>
            </w:r>
          </w:p>
        </w:tc>
      </w:tr>
      <w:tr>
        <w:tblPrEx>
          <w:tblCellMar>
            <w:top w:w="0" w:type="dxa"/>
            <w:left w:w="108" w:type="dxa"/>
            <w:bottom w:w="0" w:type="dxa"/>
            <w:right w:w="108" w:type="dxa"/>
          </w:tblCellMar>
        </w:tblPrEx>
        <w:trPr>
          <w:trHeight w:val="761" w:hRule="atLeast"/>
        </w:trPr>
        <w:tc>
          <w:tcPr>
            <w:tcW w:w="9076" w:type="dxa"/>
            <w:tcBorders>
              <w:top w:val="single" w:color="4F81BD" w:sz="4" w:space="0"/>
            </w:tcBorders>
            <w:noWrap w:val="0"/>
            <w:vAlign w:val="center"/>
          </w:tcPr>
          <w:p>
            <w:pPr>
              <w:pStyle w:val="8"/>
              <w:jc w:val="center"/>
              <w:rPr>
                <w:rFonts w:hint="eastAsia" w:ascii="楷体_GB2312" w:hAnsi="Cambria" w:eastAsia="楷体_GB2312"/>
                <w:sz w:val="44"/>
                <w:szCs w:val="44"/>
              </w:rPr>
            </w:pPr>
          </w:p>
        </w:tc>
      </w:tr>
      <w:tr>
        <w:tblPrEx>
          <w:tblCellMar>
            <w:top w:w="0" w:type="dxa"/>
            <w:left w:w="108" w:type="dxa"/>
            <w:bottom w:w="0" w:type="dxa"/>
            <w:right w:w="108" w:type="dxa"/>
          </w:tblCellMar>
        </w:tblPrEx>
        <w:trPr>
          <w:trHeight w:val="2288" w:hRule="atLeast"/>
        </w:trPr>
        <w:tc>
          <w:tcPr>
            <w:tcW w:w="9076" w:type="dxa"/>
            <w:noWrap w:val="0"/>
            <w:vAlign w:val="center"/>
          </w:tcPr>
          <w:p>
            <w:pPr>
              <w:pStyle w:val="8"/>
              <w:jc w:val="center"/>
              <w:rPr>
                <w:rFonts w:hint="eastAsia"/>
              </w:rPr>
            </w:pPr>
          </w:p>
          <w:p>
            <w:pPr>
              <w:pStyle w:val="8"/>
              <w:jc w:val="center"/>
              <w:rPr>
                <w:rFonts w:hint="eastAsia"/>
              </w:rPr>
            </w:pPr>
          </w:p>
          <w:p>
            <w:pPr>
              <w:pStyle w:val="8"/>
              <w:jc w:val="center"/>
              <w:rPr>
                <w:rFonts w:hint="eastAsia"/>
              </w:rPr>
            </w:pPr>
          </w:p>
          <w:p>
            <w:pPr>
              <w:pStyle w:val="8"/>
              <w:rPr>
                <w:rFonts w:hint="eastAsia"/>
              </w:rPr>
            </w:pPr>
          </w:p>
        </w:tc>
      </w:tr>
      <w:tr>
        <w:tblPrEx>
          <w:tblCellMar>
            <w:top w:w="0" w:type="dxa"/>
            <w:left w:w="108" w:type="dxa"/>
            <w:bottom w:w="0" w:type="dxa"/>
            <w:right w:w="108" w:type="dxa"/>
          </w:tblCellMar>
        </w:tblPrEx>
        <w:trPr>
          <w:trHeight w:val="1513" w:hRule="atLeast"/>
        </w:trPr>
        <w:tc>
          <w:tcPr>
            <w:tcW w:w="9076" w:type="dxa"/>
            <w:noWrap w:val="0"/>
            <w:vAlign w:val="center"/>
          </w:tcPr>
          <w:p>
            <w:pPr>
              <w:pStyle w:val="8"/>
              <w:rPr>
                <w:rFonts w:hint="eastAsia" w:ascii="黑体" w:eastAsia="方正小标宋简体"/>
                <w:bCs/>
                <w:lang w:eastAsia="zh-CN"/>
              </w:rPr>
            </w:pPr>
            <w:r>
              <w:rPr>
                <w:rFonts w:hint="eastAsia"/>
                <w:b/>
                <w:bCs/>
                <w:sz w:val="32"/>
                <w:szCs w:val="32"/>
              </w:rPr>
              <w:t xml:space="preserve">        </w:t>
            </w:r>
            <w:r>
              <w:rPr>
                <w:rFonts w:hint="eastAsia" w:ascii="黑体" w:eastAsia="黑体"/>
                <w:bCs/>
                <w:sz w:val="32"/>
                <w:szCs w:val="32"/>
              </w:rPr>
              <w:t xml:space="preserve">   单位公章：</w:t>
            </w:r>
            <w:r>
              <w:rPr>
                <w:rFonts w:hint="eastAsia" w:ascii="方正小标宋简体" w:hAnsi="黑体" w:eastAsia="方正小标宋简体"/>
                <w:sz w:val="32"/>
                <w:szCs w:val="32"/>
              </w:rPr>
              <w:t>南昌市新建区城市管理</w:t>
            </w:r>
            <w:r>
              <w:rPr>
                <w:rFonts w:hint="eastAsia" w:ascii="方正小标宋简体" w:hAnsi="黑体" w:eastAsia="方正小标宋简体"/>
                <w:sz w:val="32"/>
                <w:szCs w:val="32"/>
                <w:lang w:val="en-US" w:eastAsia="zh-CN"/>
              </w:rPr>
              <w:t>和综合执法</w:t>
            </w:r>
            <w:r>
              <w:rPr>
                <w:rFonts w:hint="eastAsia" w:ascii="方正小标宋简体" w:hAnsi="黑体" w:eastAsia="方正小标宋简体"/>
                <w:sz w:val="32"/>
                <w:szCs w:val="32"/>
                <w:lang w:eastAsia="zh-CN"/>
              </w:rPr>
              <w:t>局</w:t>
            </w:r>
          </w:p>
        </w:tc>
      </w:tr>
      <w:tr>
        <w:tblPrEx>
          <w:tblCellMar>
            <w:top w:w="0" w:type="dxa"/>
            <w:left w:w="108" w:type="dxa"/>
            <w:bottom w:w="0" w:type="dxa"/>
            <w:right w:w="108" w:type="dxa"/>
          </w:tblCellMar>
        </w:tblPrEx>
        <w:trPr>
          <w:trHeight w:val="380" w:hRule="atLeast"/>
        </w:trPr>
        <w:tc>
          <w:tcPr>
            <w:tcW w:w="9076" w:type="dxa"/>
            <w:noWrap w:val="0"/>
            <w:vAlign w:val="center"/>
          </w:tcPr>
          <w:p>
            <w:pPr>
              <w:pStyle w:val="8"/>
              <w:rPr>
                <w:rFonts w:hint="default" w:ascii="黑体" w:eastAsia="黑体"/>
                <w:bCs/>
                <w:sz w:val="32"/>
                <w:szCs w:val="32"/>
                <w:lang w:val="en-US"/>
              </w:rPr>
            </w:pPr>
            <w:r>
              <w:rPr>
                <w:rFonts w:hint="eastAsia"/>
                <w:b/>
                <w:bCs/>
                <w:sz w:val="32"/>
                <w:szCs w:val="32"/>
              </w:rPr>
              <w:t xml:space="preserve">     </w:t>
            </w:r>
            <w:r>
              <w:rPr>
                <w:rFonts w:hint="eastAsia" w:ascii="黑体" w:eastAsia="黑体"/>
                <w:bCs/>
                <w:sz w:val="32"/>
                <w:szCs w:val="32"/>
              </w:rPr>
              <w:t xml:space="preserve">      报送日期：</w:t>
            </w:r>
            <w:r>
              <w:rPr>
                <w:rFonts w:hint="eastAsia" w:ascii="黑体" w:eastAsia="黑体"/>
                <w:bCs/>
                <w:sz w:val="32"/>
                <w:szCs w:val="32"/>
                <w:lang w:val="en-US" w:eastAsia="zh-CN"/>
              </w:rPr>
              <w:t>2024-1-3</w:t>
            </w:r>
          </w:p>
        </w:tc>
      </w:tr>
    </w:tbl>
    <w:p>
      <w:pPr>
        <w:rPr>
          <w:sz w:val="32"/>
          <w:szCs w:val="32"/>
        </w:rPr>
      </w:pPr>
    </w:p>
    <w:tbl>
      <w:tblPr>
        <w:tblStyle w:val="4"/>
        <w:tblpPr w:leftFromText="187" w:rightFromText="187" w:vertAnchor="page" w:horzAnchor="margin" w:tblpXSpec="center" w:tblpY="13100"/>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80" w:hRule="atLeast"/>
        </w:trPr>
        <w:tc>
          <w:tcPr>
            <w:tcW w:w="9060" w:type="dxa"/>
            <w:noWrap w:val="0"/>
            <w:vAlign w:val="top"/>
          </w:tcPr>
          <w:p>
            <w:pPr>
              <w:pStyle w:val="8"/>
              <w:jc w:val="both"/>
              <w:rPr>
                <w:rFonts w:hint="default" w:ascii="黑体" w:hAnsi="宋体" w:eastAsia="黑体"/>
                <w:sz w:val="32"/>
                <w:szCs w:val="32"/>
                <w:lang w:val="en-US" w:eastAsia="zh-CN"/>
              </w:rPr>
            </w:pPr>
            <w:r>
              <w:rPr>
                <w:rFonts w:hint="eastAsia" w:ascii="黑体" w:hAnsi="宋体" w:eastAsia="黑体"/>
                <w:sz w:val="32"/>
                <w:szCs w:val="32"/>
              </w:rPr>
              <w:t xml:space="preserve">单位负责人（签章）： </w:t>
            </w:r>
            <w:r>
              <w:rPr>
                <w:rFonts w:hint="eastAsia" w:ascii="黑体" w:hAnsi="宋体" w:eastAsia="黑体"/>
                <w:sz w:val="32"/>
                <w:szCs w:val="32"/>
                <w:lang w:val="en-US" w:eastAsia="zh-CN"/>
              </w:rPr>
              <w:t>聂庸</w:t>
            </w:r>
          </w:p>
          <w:p>
            <w:pPr>
              <w:pStyle w:val="8"/>
              <w:jc w:val="both"/>
              <w:rPr>
                <w:rFonts w:hint="eastAsia" w:ascii="黑体" w:hAnsi="宋体" w:eastAsia="黑体"/>
                <w:sz w:val="32"/>
                <w:szCs w:val="32"/>
              </w:rPr>
            </w:pPr>
          </w:p>
          <w:p>
            <w:pPr>
              <w:pStyle w:val="8"/>
              <w:jc w:val="both"/>
              <w:rPr>
                <w:rFonts w:hint="default" w:ascii="黑体" w:eastAsia="黑体"/>
                <w:sz w:val="32"/>
                <w:szCs w:val="32"/>
                <w:lang w:val="en-US" w:eastAsia="zh-CN"/>
              </w:rPr>
            </w:pPr>
            <w:r>
              <w:rPr>
                <w:rFonts w:hint="eastAsia" w:ascii="黑体" w:hAnsi="宋体" w:eastAsia="黑体"/>
                <w:sz w:val="32"/>
                <w:szCs w:val="32"/>
              </w:rPr>
              <w:t>财务负责人（签章）：</w:t>
            </w:r>
            <w:r>
              <w:rPr>
                <w:rFonts w:hint="eastAsia" w:ascii="黑体" w:hAnsi="宋体" w:eastAsia="黑体"/>
                <w:sz w:val="32"/>
                <w:szCs w:val="32"/>
                <w:lang w:val="en-US" w:eastAsia="zh-CN"/>
              </w:rPr>
              <w:t xml:space="preserve">邹宏鹏 </w:t>
            </w:r>
            <w:r>
              <w:rPr>
                <w:rFonts w:hint="eastAsia" w:ascii="黑体" w:hAnsi="宋体" w:eastAsia="黑体"/>
                <w:sz w:val="32"/>
                <w:szCs w:val="32"/>
              </w:rPr>
              <w:t xml:space="preserve">  </w:t>
            </w:r>
            <w:r>
              <w:rPr>
                <w:rFonts w:hint="eastAsia" w:ascii="黑体" w:hAnsi="宋体" w:eastAsia="黑体"/>
                <w:sz w:val="32"/>
                <w:szCs w:val="32"/>
                <w:lang w:val="en-US" w:eastAsia="zh-CN"/>
              </w:rPr>
              <w:t xml:space="preserve"> </w:t>
            </w:r>
            <w:r>
              <w:rPr>
                <w:rFonts w:hint="eastAsia" w:ascii="黑体" w:hAnsi="宋体" w:eastAsia="黑体"/>
                <w:sz w:val="32"/>
                <w:szCs w:val="32"/>
              </w:rPr>
              <w:t>经办人（签章）：</w:t>
            </w:r>
            <w:r>
              <w:rPr>
                <w:rFonts w:hint="eastAsia" w:ascii="黑体" w:hAnsi="宋体" w:eastAsia="黑体"/>
                <w:sz w:val="32"/>
                <w:szCs w:val="32"/>
                <w:lang w:val="en-US" w:eastAsia="zh-CN"/>
              </w:rPr>
              <w:t>帅义</w:t>
            </w:r>
          </w:p>
        </w:tc>
      </w:tr>
    </w:tbl>
    <w:p/>
    <w:p>
      <w:pPr>
        <w:spacing w:line="140" w:lineRule="exact"/>
      </w:pPr>
    </w:p>
    <w:p>
      <w:pPr>
        <w:spacing w:line="540" w:lineRule="exact"/>
        <w:jc w:val="center"/>
        <w:rPr>
          <w:rFonts w:hint="eastAsia" w:ascii="黑体" w:eastAsia="黑体"/>
          <w:sz w:val="44"/>
          <w:szCs w:val="36"/>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39" w:line="225" w:lineRule="auto"/>
        <w:ind w:left="2190"/>
        <w:outlineLvl w:val="0"/>
        <w:rPr>
          <w:rFonts w:ascii="黑体" w:hAnsi="黑体" w:eastAsia="黑体" w:cs="黑体"/>
          <w:sz w:val="43"/>
          <w:szCs w:val="43"/>
        </w:rPr>
      </w:pPr>
    </w:p>
    <w:p>
      <w:pPr>
        <w:spacing w:line="340" w:lineRule="auto"/>
        <w:rPr>
          <w:rFonts w:ascii="Arial"/>
          <w:sz w:val="21"/>
        </w:rPr>
      </w:pPr>
    </w:p>
    <w:p>
      <w:pPr>
        <w:spacing w:before="100" w:line="227" w:lineRule="auto"/>
        <w:ind w:left="3580"/>
        <w:rPr>
          <w:rFonts w:ascii="黑体" w:hAnsi="黑体" w:eastAsia="黑体" w:cs="黑体"/>
          <w:spacing w:val="-22"/>
          <w:sz w:val="31"/>
          <w:szCs w:val="31"/>
        </w:rPr>
        <w:sectPr>
          <w:headerReference r:id="rId5" w:type="default"/>
          <w:footerReference r:id="rId6" w:type="default"/>
          <w:pgSz w:w="11906" w:h="16839"/>
          <w:pgMar w:top="400" w:right="1785" w:bottom="400" w:left="1785" w:header="0" w:footer="0" w:gutter="0"/>
          <w:cols w:space="720" w:num="1"/>
        </w:sectPr>
      </w:pPr>
    </w:p>
    <w:p>
      <w:pPr>
        <w:spacing w:before="139" w:line="225" w:lineRule="auto"/>
        <w:ind w:left="2198" w:leftChars="0" w:hanging="2198" w:hangingChars="500"/>
        <w:jc w:val="left"/>
        <w:outlineLvl w:val="0"/>
        <w:rPr>
          <w:rFonts w:ascii="黑体" w:hAnsi="黑体" w:eastAsia="黑体" w:cs="黑体"/>
          <w:b/>
          <w:bCs/>
          <w:spacing w:val="4"/>
          <w:sz w:val="43"/>
          <w:szCs w:val="43"/>
        </w:rPr>
      </w:pPr>
      <w:r>
        <w:rPr>
          <w:rFonts w:hint="eastAsia" w:ascii="黑体" w:hAnsi="黑体" w:eastAsia="黑体" w:cs="黑体"/>
          <w:b/>
          <w:bCs/>
          <w:spacing w:val="4"/>
          <w:sz w:val="43"/>
          <w:szCs w:val="43"/>
          <w:lang w:val="en-US" w:eastAsia="zh-CN"/>
        </w:rPr>
        <w:t>南昌市新建区城市管理和综合执法局</w:t>
      </w:r>
      <w:r>
        <w:rPr>
          <w:rFonts w:ascii="黑体" w:hAnsi="黑体" w:eastAsia="黑体" w:cs="黑体"/>
          <w:b/>
          <w:bCs/>
          <w:spacing w:val="4"/>
          <w:sz w:val="43"/>
          <w:szCs w:val="43"/>
        </w:rPr>
        <w:t>部门</w:t>
      </w:r>
      <w:r>
        <w:rPr>
          <w:rFonts w:hint="eastAsia" w:ascii="黑体" w:hAnsi="黑体" w:eastAsia="黑体" w:cs="黑体"/>
          <w:b/>
          <w:bCs/>
          <w:spacing w:val="4"/>
          <w:sz w:val="43"/>
          <w:szCs w:val="43"/>
          <w:lang w:val="en-US" w:eastAsia="zh-CN"/>
        </w:rPr>
        <w:t>2024</w:t>
      </w:r>
      <w:r>
        <w:rPr>
          <w:rFonts w:ascii="黑体" w:hAnsi="黑体" w:eastAsia="黑体" w:cs="黑体"/>
          <w:b/>
          <w:bCs/>
          <w:spacing w:val="4"/>
          <w:sz w:val="43"/>
          <w:szCs w:val="43"/>
        </w:rPr>
        <w:t>年部门预算</w:t>
      </w:r>
    </w:p>
    <w:p>
      <w:pPr>
        <w:spacing w:before="100" w:line="227" w:lineRule="auto"/>
        <w:ind w:left="3580"/>
        <w:rPr>
          <w:rFonts w:ascii="黑体" w:hAnsi="黑体" w:eastAsia="黑体" w:cs="黑体"/>
          <w:sz w:val="31"/>
          <w:szCs w:val="31"/>
        </w:rPr>
      </w:pPr>
      <w:r>
        <w:rPr>
          <w:rFonts w:ascii="黑体" w:hAnsi="黑体" w:eastAsia="黑体" w:cs="黑体"/>
          <w:spacing w:val="-22"/>
          <w:sz w:val="31"/>
          <w:szCs w:val="31"/>
        </w:rPr>
        <w:t>目</w:t>
      </w:r>
      <w:r>
        <w:rPr>
          <w:rFonts w:ascii="黑体" w:hAnsi="黑体" w:eastAsia="黑体" w:cs="黑体"/>
          <w:spacing w:val="8"/>
          <w:sz w:val="31"/>
          <w:szCs w:val="31"/>
        </w:rPr>
        <w:t xml:space="preserve">    </w:t>
      </w:r>
      <w:r>
        <w:rPr>
          <w:rFonts w:ascii="黑体" w:hAnsi="黑体" w:eastAsia="黑体" w:cs="黑体"/>
          <w:spacing w:val="-22"/>
          <w:sz w:val="31"/>
          <w:szCs w:val="31"/>
        </w:rPr>
        <w:t>录</w:t>
      </w:r>
    </w:p>
    <w:p>
      <w:pPr>
        <w:spacing w:line="452" w:lineRule="auto"/>
        <w:rPr>
          <w:rFonts w:ascii="Arial"/>
          <w:sz w:val="21"/>
        </w:rPr>
      </w:pPr>
    </w:p>
    <w:p>
      <w:pPr>
        <w:pStyle w:val="3"/>
        <w:spacing w:before="100" w:line="222" w:lineRule="auto"/>
        <w:ind w:left="683"/>
      </w:pPr>
      <w:r>
        <w:rPr>
          <w:b/>
          <w:bCs/>
        </w:rPr>
        <w:t>第一部分</w:t>
      </w:r>
      <w:r>
        <w:rPr>
          <w:spacing w:val="24"/>
        </w:rPr>
        <w:t xml:space="preserve">  </w:t>
      </w:r>
      <w:r>
        <w:rPr>
          <w:rFonts w:hint="eastAsia"/>
          <w:b/>
          <w:bCs/>
          <w:lang w:eastAsia="zh-CN"/>
        </w:rPr>
        <w:t>南昌市新建区城市管理和综合执法局</w:t>
      </w:r>
      <w:r>
        <w:rPr>
          <w:b/>
          <w:bCs/>
        </w:rPr>
        <w:t>概况</w:t>
      </w:r>
    </w:p>
    <w:p>
      <w:pPr>
        <w:pStyle w:val="3"/>
        <w:spacing w:before="251" w:line="222" w:lineRule="auto"/>
        <w:ind w:left="1325"/>
      </w:pPr>
      <w:r>
        <w:rPr>
          <w:spacing w:val="5"/>
        </w:rPr>
        <w:t>一、部门主要职责</w:t>
      </w:r>
    </w:p>
    <w:p>
      <w:pPr>
        <w:pStyle w:val="3"/>
        <w:spacing w:before="253" w:line="222" w:lineRule="auto"/>
        <w:ind w:left="1323"/>
      </w:pPr>
      <w:r>
        <w:rPr>
          <w:spacing w:val="7"/>
        </w:rPr>
        <w:t>二、机构设置及人员情况</w:t>
      </w:r>
    </w:p>
    <w:p>
      <w:pPr>
        <w:pStyle w:val="3"/>
        <w:spacing w:before="250" w:line="222" w:lineRule="auto"/>
        <w:ind w:left="683"/>
      </w:pPr>
      <w:r>
        <w:rPr>
          <w:b/>
          <w:bCs/>
          <w:spacing w:val="4"/>
        </w:rPr>
        <w:t>第二部分</w:t>
      </w:r>
      <w:r>
        <w:rPr>
          <w:spacing w:val="4"/>
        </w:rPr>
        <w:t xml:space="preserve">  </w:t>
      </w:r>
      <w:r>
        <w:rPr>
          <w:rFonts w:hint="eastAsia"/>
          <w:b/>
          <w:bCs/>
          <w:spacing w:val="4"/>
          <w:lang w:eastAsia="zh-CN"/>
        </w:rPr>
        <w:t>南昌市新建区城市管理和综合执法局2024年</w:t>
      </w:r>
      <w:r>
        <w:rPr>
          <w:b/>
          <w:bCs/>
          <w:spacing w:val="4"/>
        </w:rPr>
        <w:t>部门预算表</w:t>
      </w:r>
    </w:p>
    <w:p>
      <w:pPr>
        <w:pStyle w:val="3"/>
        <w:spacing w:before="252" w:line="624" w:lineRule="exact"/>
        <w:ind w:left="1325"/>
      </w:pPr>
      <w:r>
        <w:rPr>
          <w:spacing w:val="-10"/>
          <w:position w:val="23"/>
        </w:rPr>
        <w:t>一、《收支预算总表》</w:t>
      </w:r>
    </w:p>
    <w:p>
      <w:pPr>
        <w:pStyle w:val="3"/>
        <w:spacing w:before="1" w:line="221" w:lineRule="auto"/>
        <w:ind w:left="1323"/>
      </w:pPr>
      <w:r>
        <w:rPr>
          <w:spacing w:val="-10"/>
        </w:rPr>
        <w:t>二、《部门收入总表》</w:t>
      </w:r>
    </w:p>
    <w:p>
      <w:pPr>
        <w:pStyle w:val="3"/>
        <w:spacing w:before="251" w:line="222" w:lineRule="auto"/>
        <w:ind w:left="1329"/>
      </w:pPr>
      <w:r>
        <w:rPr>
          <w:spacing w:val="-11"/>
        </w:rPr>
        <w:t>三、《部门支出总表》</w:t>
      </w:r>
    </w:p>
    <w:p>
      <w:pPr>
        <w:pStyle w:val="3"/>
        <w:spacing w:before="252" w:line="223" w:lineRule="auto"/>
        <w:ind w:left="1343"/>
      </w:pPr>
      <w:r>
        <w:rPr>
          <w:spacing w:val="-8"/>
        </w:rPr>
        <w:t>四、《财政拨款收支总表》</w:t>
      </w:r>
    </w:p>
    <w:p>
      <w:pPr>
        <w:pStyle w:val="3"/>
        <w:spacing w:before="249" w:line="222" w:lineRule="auto"/>
        <w:ind w:left="1316"/>
      </w:pPr>
      <w:r>
        <w:rPr>
          <w:spacing w:val="-5"/>
        </w:rPr>
        <w:t>五、《一般公共预算支出表》</w:t>
      </w:r>
    </w:p>
    <w:p>
      <w:pPr>
        <w:pStyle w:val="3"/>
        <w:spacing w:before="251" w:line="222" w:lineRule="auto"/>
        <w:ind w:left="1319"/>
      </w:pPr>
      <w:r>
        <w:rPr>
          <w:spacing w:val="-3"/>
        </w:rPr>
        <w:t>六、《一般公共预算基本支出表》</w:t>
      </w:r>
    </w:p>
    <w:p>
      <w:pPr>
        <w:pStyle w:val="3"/>
        <w:spacing w:before="252" w:line="223" w:lineRule="auto"/>
        <w:ind w:left="1313"/>
      </w:pPr>
      <w:r>
        <w:rPr>
          <w:spacing w:val="-7"/>
        </w:rPr>
        <w:t>七、《财政拨款</w:t>
      </w:r>
      <w:r>
        <w:rPr>
          <w:spacing w:val="-89"/>
        </w:rPr>
        <w:t xml:space="preserve"> </w:t>
      </w:r>
      <w:r>
        <w:rPr>
          <w:spacing w:val="-7"/>
        </w:rPr>
        <w:t>“</w:t>
      </w:r>
      <w:r>
        <w:rPr>
          <w:spacing w:val="-118"/>
        </w:rPr>
        <w:t xml:space="preserve"> </w:t>
      </w:r>
      <w:r>
        <w:rPr>
          <w:spacing w:val="-7"/>
        </w:rPr>
        <w:t>三公”经费支出表》</w:t>
      </w:r>
    </w:p>
    <w:p>
      <w:pPr>
        <w:pStyle w:val="3"/>
        <w:spacing w:before="250" w:line="220" w:lineRule="auto"/>
        <w:ind w:left="1312"/>
      </w:pPr>
      <w:r>
        <w:rPr>
          <w:spacing w:val="-4"/>
        </w:rPr>
        <w:t>八、《政府性基金预算支出表》</w:t>
      </w:r>
    </w:p>
    <w:p>
      <w:pPr>
        <w:pStyle w:val="3"/>
        <w:spacing w:before="254" w:line="624" w:lineRule="exact"/>
        <w:ind w:left="1309"/>
      </w:pPr>
      <w:r>
        <w:rPr>
          <w:spacing w:val="-3"/>
          <w:position w:val="23"/>
        </w:rPr>
        <w:t>九、《国有资本经营预算支出表》</w:t>
      </w:r>
    </w:p>
    <w:p>
      <w:pPr>
        <w:pStyle w:val="3"/>
        <w:spacing w:before="1" w:line="221" w:lineRule="auto"/>
        <w:ind w:left="1319"/>
      </w:pPr>
      <w:r>
        <w:rPr>
          <w:spacing w:val="-3"/>
        </w:rPr>
        <w:t>十、《部门整体支出绩效目标表》</w:t>
      </w:r>
    </w:p>
    <w:p>
      <w:pPr>
        <w:pStyle w:val="3"/>
        <w:spacing w:before="253" w:line="222" w:lineRule="auto"/>
        <w:ind w:left="1319"/>
      </w:pPr>
      <w:r>
        <w:rPr>
          <w:spacing w:val="-6"/>
        </w:rPr>
        <w:t>十一、《项目绩效目标表》</w:t>
      </w:r>
    </w:p>
    <w:p>
      <w:pPr>
        <w:pStyle w:val="3"/>
        <w:spacing w:before="250" w:line="222" w:lineRule="auto"/>
        <w:ind w:left="683"/>
      </w:pPr>
      <w:r>
        <w:rPr>
          <w:b/>
          <w:bCs/>
          <w:spacing w:val="5"/>
        </w:rPr>
        <w:t>第三部分</w:t>
      </w:r>
      <w:r>
        <w:rPr>
          <w:spacing w:val="5"/>
        </w:rPr>
        <w:t xml:space="preserve"> </w:t>
      </w:r>
      <w:r>
        <w:rPr>
          <w:rFonts w:hint="eastAsia"/>
          <w:b/>
          <w:bCs/>
          <w:spacing w:val="5"/>
          <w:lang w:eastAsia="zh-CN"/>
        </w:rPr>
        <w:t>南昌市新建区城市管理和综合执法局2024年</w:t>
      </w:r>
      <w:r>
        <w:rPr>
          <w:b/>
          <w:bCs/>
          <w:spacing w:val="5"/>
        </w:rPr>
        <w:t>部门预算情况说明</w:t>
      </w:r>
    </w:p>
    <w:p>
      <w:pPr>
        <w:pStyle w:val="3"/>
        <w:spacing w:before="251" w:line="222" w:lineRule="auto"/>
        <w:ind w:left="1325"/>
      </w:pPr>
      <w:r>
        <w:rPr>
          <w:spacing w:val="7"/>
        </w:rPr>
        <w:t>一、</w:t>
      </w:r>
      <w:r>
        <w:rPr>
          <w:rFonts w:hint="eastAsia"/>
          <w:spacing w:val="7"/>
          <w:lang w:eastAsia="zh-CN"/>
        </w:rPr>
        <w:t>2024年</w:t>
      </w:r>
      <w:r>
        <w:rPr>
          <w:spacing w:val="7"/>
        </w:rPr>
        <w:t>部门预算收支情况说明</w:t>
      </w:r>
    </w:p>
    <w:p>
      <w:pPr>
        <w:pStyle w:val="3"/>
        <w:spacing w:before="251" w:line="222" w:lineRule="auto"/>
        <w:ind w:left="1323"/>
      </w:pPr>
      <w:r>
        <w:rPr>
          <w:spacing w:val="2"/>
        </w:rPr>
        <w:t>二、</w:t>
      </w:r>
      <w:r>
        <w:rPr>
          <w:rFonts w:hint="eastAsia"/>
          <w:spacing w:val="2"/>
          <w:lang w:eastAsia="zh-CN"/>
        </w:rPr>
        <w:t>2024年</w:t>
      </w:r>
      <w:r>
        <w:rPr>
          <w:spacing w:val="-98"/>
        </w:rPr>
        <w:t xml:space="preserve"> </w:t>
      </w:r>
      <w:r>
        <w:rPr>
          <w:spacing w:val="2"/>
        </w:rPr>
        <w:t>“</w:t>
      </w:r>
      <w:r>
        <w:rPr>
          <w:spacing w:val="-119"/>
        </w:rPr>
        <w:t xml:space="preserve"> </w:t>
      </w:r>
      <w:r>
        <w:rPr>
          <w:spacing w:val="2"/>
        </w:rPr>
        <w:t>三公”经费预算情况说明</w:t>
      </w:r>
    </w:p>
    <w:p>
      <w:pPr>
        <w:pStyle w:val="3"/>
        <w:spacing w:before="252" w:line="222" w:lineRule="auto"/>
        <w:ind w:left="683"/>
      </w:pPr>
      <w:r>
        <w:rPr>
          <w:b/>
          <w:bCs/>
          <w:spacing w:val="4"/>
        </w:rPr>
        <w:t>第四部分</w:t>
      </w:r>
      <w:r>
        <w:rPr>
          <w:spacing w:val="4"/>
        </w:rPr>
        <w:t xml:space="preserve">  </w:t>
      </w:r>
      <w:r>
        <w:rPr>
          <w:b/>
          <w:bCs/>
          <w:spacing w:val="4"/>
        </w:rPr>
        <w:t>名词解释</w:t>
      </w:r>
    </w:p>
    <w:p>
      <w:pPr>
        <w:spacing w:line="222" w:lineRule="auto"/>
        <w:sectPr>
          <w:pgSz w:w="11906" w:h="16839"/>
          <w:pgMar w:top="400" w:right="1785" w:bottom="400" w:left="1785" w:header="0" w:footer="0" w:gutter="0"/>
          <w:cols w:space="720" w:num="1"/>
        </w:sect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3"/>
        <w:spacing w:before="101" w:line="222" w:lineRule="auto"/>
        <w:ind w:left="2599" w:leftChars="0" w:hanging="2599" w:hangingChars="835"/>
        <w:jc w:val="center"/>
      </w:pPr>
      <w:r>
        <w:rPr>
          <w:b/>
          <w:bCs/>
        </w:rPr>
        <w:t>第一部分</w:t>
      </w:r>
      <w:r>
        <w:rPr>
          <w:spacing w:val="24"/>
        </w:rPr>
        <w:t xml:space="preserve">  </w:t>
      </w:r>
      <w:r>
        <w:rPr>
          <w:rFonts w:hint="eastAsia"/>
          <w:b/>
          <w:bCs/>
          <w:lang w:eastAsia="zh-CN"/>
        </w:rPr>
        <w:t>南昌市新建区城市管理和综合执法局</w:t>
      </w:r>
      <w:r>
        <w:rPr>
          <w:b/>
          <w:bCs/>
        </w:rPr>
        <w:t>概况</w:t>
      </w:r>
    </w:p>
    <w:p>
      <w:pPr>
        <w:spacing w:line="342" w:lineRule="auto"/>
        <w:rPr>
          <w:rFonts w:ascii="Arial"/>
          <w:sz w:val="21"/>
        </w:rPr>
      </w:pPr>
    </w:p>
    <w:p>
      <w:pPr>
        <w:spacing w:line="342" w:lineRule="auto"/>
        <w:rPr>
          <w:rFonts w:ascii="Arial"/>
          <w:sz w:val="21"/>
        </w:rPr>
      </w:pPr>
    </w:p>
    <w:p>
      <w:pPr>
        <w:spacing w:before="101" w:line="221" w:lineRule="auto"/>
        <w:ind w:left="30"/>
        <w:rPr>
          <w:rFonts w:ascii="楷体" w:hAnsi="楷体" w:eastAsia="楷体" w:cs="楷体"/>
          <w:sz w:val="31"/>
          <w:szCs w:val="31"/>
        </w:rPr>
      </w:pPr>
      <w:r>
        <w:rPr>
          <w:rFonts w:ascii="楷体" w:hAnsi="楷体" w:eastAsia="楷体" w:cs="楷体"/>
          <w:b/>
          <w:bCs/>
          <w:spacing w:val="5"/>
          <w:sz w:val="31"/>
          <w:szCs w:val="31"/>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区城市管理局负责贯彻落实中央关于城市管理的方针政策和决策部署，在履行职责过程中坚持和加强党对城市管理工作的集中统一领导。主要职责是：</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一）贯彻执行国家和省、市、区有关城市管理、城市规划监察、市政设施管理、公共照明管护、园林绿化、停车管理、环境卫生等方面的法律、法规和行政规章；参与编制城市管理事业发展中长期规划、专项规划、年度计划、行业作业标准，并组织实施。</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（二）指导城市市政设施、环卫设施、园林绿化设施、户外照明、公共停车场和道路内停车泊位和城市雕塑建设。</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（三）负责城市市政公用、环境卫生、公共照明、园林绿化、停车管理、数字城管等设施、设备的管护、维修；负责心怡广场、礼步湖公园、乌沙河风景区的综合管理工作。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四）会同住建规划部门负责城市道路挖掘许可、临时占用城市道路许可的审批工作；负责对城市规划区内户外广告、店面招牌设置许可的审批工作；负责城市占用及拆除、迁移、改动城市道路照明和环卫公用设施、公共场地、公共绿地的审批；负责在公共场地、公共绿地内开设服务性项目及其他设施的审批；负责机动车临时占用城市道路停放收费和非机动车停放秩序管理工作；负责城市排水设施连接的接管审批；参与制定城市规划、重点建设项目和城市综合开发建设项目的可行性研究、方案审查和竣工验收备案工作；参与城市规划区新建、改建、扩建市政、市容基础设施建设项目的立项、选址、设计、竣工验收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（五）负责城市规划区内的苗木、草植、花卉等生产与销售的技术指导和市场管理。</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（六）按照城市规划及城市容貌标准的总体要求，负责城市高空环境综合整治；负责机动车辆容貌、沿街建筑物容貌和临街景观及灯饰亮化的管理。</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（七）负责城区一、二级排水主管网的维修与养护工作；负责城区主、次干道路面积水应急处置工作；负责收集城区雨水、污水并通过排水主管涵输送到乌沙河、龙潭河沿岸有关部门管理的雨、污水管道与箱涵。</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（八）负责城市规划区内的余土、生活垃圾、建筑垃圾、基建渣土等固体废弃物的调剂、排放、运输、处置工作。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（九）承担城市管理相对集中行政处罚权工作；负责城管执法工作的组织实施、业务指导、统筹协调、监督检查和综合考评；</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负责重大执法活动、专项执法行动的组织和部署；负责研究制定城管执法工作规范和行为规范；负责城市管理行政执法工作的综合考核和业务培训。</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（十）承担推进长效化、数字化、精细化城市管理责任；负责依托城市管理信息平台，对城市管理工作进行监督、考核和评价。</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（十一）参与对城市规划区内建设工程规划放验线及跟踪查验工作；参与建筑工程配套的环卫、市政、路灯、园林绿化等公用设施的竣工验收工作。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（十二）组织编制城管、环卫、路灯、市政公用和园林绿化、停车管理年度经费计划。</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（十三）制订城镇管理、市政公用、环境卫生、园林绿化等行业科技、人才发展规划。</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（十四）负责指导全区生活垃圾分类工作的推广实施，垃圾分类收运体系建设，垃圾分类宣传、教育、培训等工作；承担全区生活垃圾分类的检查、监督、考核、评价等工作。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（十五）负责全区农村生活垃圾处理工作的统筹、组织、指导、督查、考评。</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（十六）负责推进、指导、协调、监督本部门、本系统的政府信息公开工作。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（十七）完成区委和区政府交办的其它事项。</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（十八）有关职责分工。</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与区市场监督管理局的有关职责分工。区市场监督管理局负责除食品摊贩摆摊设点监管执法外的其他工作。区城市管理局负责食品摊贩摆摊设点的监管执法工作。</w:t>
      </w:r>
    </w:p>
    <w:p>
      <w:pPr>
        <w:spacing w:before="163" w:line="223" w:lineRule="auto"/>
        <w:ind w:left="23"/>
        <w:rPr>
          <w:rFonts w:ascii="楷体" w:hAnsi="楷体" w:eastAsia="楷体" w:cs="楷体"/>
          <w:sz w:val="31"/>
          <w:szCs w:val="31"/>
        </w:rPr>
      </w:pPr>
      <w:r>
        <w:rPr>
          <w:rFonts w:ascii="楷体" w:hAnsi="楷体" w:eastAsia="楷体" w:cs="楷体"/>
          <w:b/>
          <w:bCs/>
          <w:spacing w:val="6"/>
          <w:sz w:val="31"/>
          <w:szCs w:val="31"/>
        </w:rPr>
        <w:t>二、机构设置及人员情况</w:t>
      </w:r>
    </w:p>
    <w:p>
      <w:pPr>
        <w:pStyle w:val="3"/>
        <w:spacing w:before="247" w:line="372" w:lineRule="auto"/>
        <w:ind w:left="36" w:right="15" w:firstLine="628"/>
        <w:jc w:val="both"/>
      </w:pPr>
      <w:r>
        <w:rPr>
          <w:rFonts w:hint="eastAsia"/>
          <w:spacing w:val="6"/>
          <w:lang w:eastAsia="zh-CN"/>
        </w:rPr>
        <w:t>2024年南昌市新建区城市管理和综合执法局</w:t>
      </w:r>
      <w:r>
        <w:rPr>
          <w:spacing w:val="6"/>
        </w:rPr>
        <w:t>共有预算单位</w:t>
      </w:r>
      <w:r>
        <w:rPr>
          <w:spacing w:val="-141"/>
        </w:rPr>
        <w:t xml:space="preserve"> </w:t>
      </w:r>
      <w:r>
        <w:rPr>
          <w:spacing w:val="5"/>
          <w:u w:val="single" w:color="auto"/>
        </w:rPr>
        <w:t xml:space="preserve"> </w:t>
      </w:r>
      <w:r>
        <w:rPr>
          <w:rFonts w:hint="eastAsia"/>
          <w:spacing w:val="5"/>
          <w:u w:val="single" w:color="auto"/>
          <w:lang w:val="en-US" w:eastAsia="zh-CN"/>
        </w:rPr>
        <w:t>4</w:t>
      </w:r>
      <w:r>
        <w:rPr>
          <w:spacing w:val="5"/>
          <w:u w:val="single" w:color="auto"/>
        </w:rPr>
        <w:t xml:space="preserve"> </w:t>
      </w:r>
      <w:r>
        <w:rPr>
          <w:spacing w:val="-132"/>
        </w:rPr>
        <w:t xml:space="preserve"> </w:t>
      </w:r>
      <w:r>
        <w:rPr>
          <w:spacing w:val="6"/>
        </w:rPr>
        <w:t>个，包括</w:t>
      </w:r>
      <w:r>
        <w:rPr>
          <w:rFonts w:hint="eastAsia"/>
          <w:spacing w:val="6"/>
          <w:lang w:eastAsia="zh-CN"/>
        </w:rPr>
        <w:t>局</w:t>
      </w:r>
      <w:r>
        <w:rPr>
          <w:spacing w:val="6"/>
        </w:rPr>
        <w:t>本级和</w:t>
      </w:r>
      <w:r>
        <w:rPr>
          <w:rFonts w:hint="eastAsia"/>
          <w:spacing w:val="6"/>
          <w:lang w:val="en-US" w:eastAsia="zh-CN"/>
        </w:rPr>
        <w:t>3</w:t>
      </w:r>
      <w:r>
        <w:rPr>
          <w:spacing w:val="16"/>
        </w:rPr>
        <w:t>个二级预算单位，二级预算单位具体包括</w:t>
      </w:r>
      <w:r>
        <w:rPr>
          <w:spacing w:val="-82"/>
        </w:rPr>
        <w:t>：</w:t>
      </w:r>
      <w:r>
        <w:rPr>
          <w:rFonts w:hint="eastAsia"/>
          <w:spacing w:val="6"/>
          <w:lang w:eastAsia="zh-CN"/>
        </w:rPr>
        <w:t>南昌市新建区城市管理和综合执法局</w:t>
      </w:r>
      <w:r>
        <w:rPr>
          <w:spacing w:val="6"/>
        </w:rPr>
        <w:t>本级</w:t>
      </w:r>
      <w:r>
        <w:rPr>
          <w:rFonts w:hint="eastAsia"/>
          <w:spacing w:val="6"/>
          <w:lang w:eastAsia="zh-CN"/>
        </w:rPr>
        <w:t>、</w:t>
      </w:r>
      <w:r>
        <w:rPr>
          <w:rFonts w:hint="eastAsia"/>
          <w:spacing w:val="6"/>
        </w:rPr>
        <w:t>南昌市新建区城区排涝与污水处理所</w:t>
      </w:r>
      <w:r>
        <w:rPr>
          <w:rFonts w:hint="eastAsia"/>
          <w:spacing w:val="6"/>
          <w:lang w:eastAsia="zh-CN"/>
        </w:rPr>
        <w:t>、</w:t>
      </w:r>
      <w:r>
        <w:rPr>
          <w:rFonts w:hint="eastAsia"/>
          <w:spacing w:val="6"/>
        </w:rPr>
        <w:t>南昌市新建区城市管理综合执法大队</w:t>
      </w:r>
      <w:r>
        <w:rPr>
          <w:rFonts w:hint="eastAsia"/>
          <w:spacing w:val="6"/>
          <w:lang w:eastAsia="zh-CN"/>
        </w:rPr>
        <w:t>、</w:t>
      </w:r>
      <w:r>
        <w:rPr>
          <w:rFonts w:hint="eastAsia"/>
          <w:spacing w:val="6"/>
        </w:rPr>
        <w:t>南昌市新建区城市管理事务中心</w:t>
      </w:r>
      <w:r>
        <w:rPr>
          <w:spacing w:val="-11"/>
        </w:rPr>
        <w:t>。</w:t>
      </w:r>
    </w:p>
    <w:p>
      <w:pPr>
        <w:pStyle w:val="3"/>
        <w:spacing w:before="242" w:line="372" w:lineRule="auto"/>
        <w:ind w:left="35" w:right="16" w:firstLine="643"/>
        <w:jc w:val="both"/>
      </w:pPr>
      <w:r>
        <w:rPr>
          <w:spacing w:val="7"/>
        </w:rPr>
        <w:t>编制人数小计</w:t>
      </w:r>
      <w:r>
        <w:rPr>
          <w:rFonts w:hint="eastAsia"/>
          <w:spacing w:val="7"/>
          <w:lang w:val="en-US" w:eastAsia="zh-CN"/>
        </w:rPr>
        <w:t>355</w:t>
      </w:r>
      <w:r>
        <w:rPr>
          <w:spacing w:val="7"/>
        </w:rPr>
        <w:t>人,其中：行政编制人数</w:t>
      </w:r>
      <w:r>
        <w:rPr>
          <w:rFonts w:hint="eastAsia"/>
          <w:spacing w:val="7"/>
          <w:lang w:val="en-US" w:eastAsia="zh-CN"/>
        </w:rPr>
        <w:t>10</w:t>
      </w:r>
      <w:r>
        <w:rPr>
          <w:spacing w:val="7"/>
        </w:rPr>
        <w:t>人,全部补</w:t>
      </w:r>
      <w:bookmarkStart w:id="0" w:name="_GoBack"/>
      <w:bookmarkEnd w:id="0"/>
      <w:r>
        <w:rPr>
          <w:spacing w:val="7"/>
        </w:rPr>
        <w:t>助</w:t>
      </w:r>
      <w:r>
        <w:rPr>
          <w:spacing w:val="13"/>
        </w:rPr>
        <w:t>事业编制人数</w:t>
      </w:r>
      <w:r>
        <w:rPr>
          <w:rFonts w:hint="eastAsia"/>
          <w:spacing w:val="13"/>
          <w:lang w:val="en-US" w:eastAsia="zh-CN"/>
        </w:rPr>
        <w:t>263</w:t>
      </w:r>
      <w:r>
        <w:rPr>
          <w:spacing w:val="13"/>
        </w:rPr>
        <w:t>人,部分补助事业编制人数</w:t>
      </w:r>
      <w:r>
        <w:rPr>
          <w:rFonts w:hint="eastAsia"/>
          <w:spacing w:val="13"/>
          <w:lang w:val="en-US" w:eastAsia="zh-CN"/>
        </w:rPr>
        <w:t>82</w:t>
      </w:r>
      <w:r>
        <w:rPr>
          <w:spacing w:val="13"/>
        </w:rPr>
        <w:t>人。实有人数</w:t>
      </w:r>
      <w:r>
        <w:rPr>
          <w:spacing w:val="12"/>
        </w:rPr>
        <w:t>小计</w:t>
      </w:r>
      <w:r>
        <w:rPr>
          <w:rFonts w:hint="eastAsia"/>
          <w:spacing w:val="12"/>
          <w:lang w:val="en-US" w:eastAsia="zh-CN"/>
        </w:rPr>
        <w:t>475</w:t>
      </w:r>
      <w:r>
        <w:rPr>
          <w:spacing w:val="12"/>
        </w:rPr>
        <w:t>人,其中：在职人数小计</w:t>
      </w:r>
      <w:r>
        <w:rPr>
          <w:rFonts w:hint="eastAsia"/>
          <w:spacing w:val="12"/>
          <w:lang w:val="en-US" w:eastAsia="zh-CN"/>
        </w:rPr>
        <w:t>321</w:t>
      </w:r>
      <w:r>
        <w:rPr>
          <w:spacing w:val="12"/>
        </w:rPr>
        <w:t>人,行政在职人数</w:t>
      </w:r>
      <w:r>
        <w:rPr>
          <w:rFonts w:hint="eastAsia"/>
          <w:spacing w:val="12"/>
          <w:lang w:val="en-US" w:eastAsia="zh-CN"/>
        </w:rPr>
        <w:t>7</w:t>
      </w:r>
      <w:r>
        <w:rPr>
          <w:spacing w:val="12"/>
        </w:rPr>
        <w:t>人,全</w:t>
      </w:r>
      <w:r>
        <w:rPr>
          <w:spacing w:val="13"/>
        </w:rPr>
        <w:t>部补助事业在职人数</w:t>
      </w:r>
      <w:r>
        <w:rPr>
          <w:rFonts w:hint="eastAsia"/>
          <w:spacing w:val="13"/>
          <w:lang w:val="en-US" w:eastAsia="zh-CN"/>
        </w:rPr>
        <w:t>226</w:t>
      </w:r>
      <w:r>
        <w:rPr>
          <w:spacing w:val="13"/>
        </w:rPr>
        <w:t>人,部分补助事业在职人数</w:t>
      </w:r>
      <w:r>
        <w:rPr>
          <w:rFonts w:hint="eastAsia"/>
          <w:spacing w:val="13"/>
          <w:lang w:val="en-US" w:eastAsia="zh-CN"/>
        </w:rPr>
        <w:t>88</w:t>
      </w:r>
      <w:r>
        <w:rPr>
          <w:spacing w:val="13"/>
        </w:rPr>
        <w:t>人。离</w:t>
      </w:r>
      <w:r>
        <w:rPr>
          <w:spacing w:val="7"/>
        </w:rPr>
        <w:t>休人数小计</w:t>
      </w:r>
      <w:r>
        <w:rPr>
          <w:rFonts w:hint="eastAsia"/>
          <w:spacing w:val="7"/>
          <w:lang w:val="en-US" w:eastAsia="zh-CN"/>
        </w:rPr>
        <w:t>0</w:t>
      </w:r>
      <w:r>
        <w:rPr>
          <w:spacing w:val="7"/>
        </w:rPr>
        <w:t>人,退休人数小计</w:t>
      </w:r>
      <w:r>
        <w:rPr>
          <w:rFonts w:hint="eastAsia"/>
          <w:spacing w:val="7"/>
        </w:rPr>
        <w:t>1</w:t>
      </w:r>
      <w:r>
        <w:rPr>
          <w:rFonts w:hint="eastAsia"/>
          <w:spacing w:val="7"/>
          <w:lang w:val="en-US" w:eastAsia="zh-CN"/>
        </w:rPr>
        <w:t>52</w:t>
      </w:r>
      <w:r>
        <w:rPr>
          <w:spacing w:val="7"/>
        </w:rPr>
        <w:t>人,遗属人数</w:t>
      </w:r>
      <w:r>
        <w:rPr>
          <w:rFonts w:hint="eastAsia"/>
          <w:spacing w:val="7"/>
          <w:lang w:val="en-US" w:eastAsia="zh-CN"/>
        </w:rPr>
        <w:t>2</w:t>
      </w:r>
      <w:r>
        <w:rPr>
          <w:spacing w:val="7"/>
        </w:rPr>
        <w:t>人。</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3"/>
        <w:spacing w:before="101" w:line="222" w:lineRule="auto"/>
        <w:ind w:left="1571" w:leftChars="0" w:hanging="1571" w:hangingChars="492"/>
      </w:pPr>
      <w:r>
        <w:rPr>
          <w:b/>
          <w:bCs/>
          <w:spacing w:val="4"/>
        </w:rPr>
        <w:t>第二部分</w:t>
      </w:r>
      <w:r>
        <w:rPr>
          <w:spacing w:val="4"/>
        </w:rPr>
        <w:t xml:space="preserve">  </w:t>
      </w:r>
      <w:r>
        <w:rPr>
          <w:rFonts w:hint="eastAsia"/>
          <w:b/>
          <w:bCs/>
          <w:spacing w:val="4"/>
          <w:lang w:eastAsia="zh-CN"/>
        </w:rPr>
        <w:t>南昌市新建区城市管理和综合执法局2024年</w:t>
      </w:r>
      <w:r>
        <w:rPr>
          <w:b/>
          <w:bCs/>
          <w:spacing w:val="4"/>
        </w:rPr>
        <w:t>部门预算表</w:t>
      </w:r>
    </w:p>
    <w:p>
      <w:pPr>
        <w:pStyle w:val="3"/>
        <w:spacing w:before="170" w:line="226" w:lineRule="auto"/>
        <w:ind w:left="680"/>
      </w:pPr>
      <w:r>
        <w:rPr>
          <w:spacing w:val="3"/>
        </w:rPr>
        <w:t>（详见附表）</w:t>
      </w: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3"/>
        <w:spacing w:before="101" w:line="222" w:lineRule="auto"/>
        <w:ind w:left="1305"/>
      </w:pPr>
      <w:r>
        <w:rPr>
          <w:b/>
          <w:bCs/>
          <w:spacing w:val="5"/>
        </w:rPr>
        <w:t>第三部分</w:t>
      </w:r>
      <w:r>
        <w:rPr>
          <w:spacing w:val="5"/>
        </w:rPr>
        <w:t xml:space="preserve">  </w:t>
      </w:r>
      <w:r>
        <w:rPr>
          <w:rFonts w:hint="eastAsia"/>
          <w:b/>
          <w:bCs/>
          <w:spacing w:val="5"/>
          <w:lang w:eastAsia="zh-CN"/>
        </w:rPr>
        <w:t>南昌市新建区城市管理和综合执法局2024年</w:t>
      </w:r>
      <w:r>
        <w:rPr>
          <w:b/>
          <w:bCs/>
          <w:spacing w:val="5"/>
        </w:rPr>
        <w:t>部门预算情况说明</w:t>
      </w:r>
    </w:p>
    <w:p>
      <w:pPr>
        <w:spacing w:line="342" w:lineRule="auto"/>
        <w:rPr>
          <w:rFonts w:ascii="Arial"/>
          <w:sz w:val="21"/>
        </w:rPr>
      </w:pPr>
    </w:p>
    <w:p>
      <w:pPr>
        <w:spacing w:line="342" w:lineRule="auto"/>
        <w:rPr>
          <w:rFonts w:ascii="Arial"/>
          <w:sz w:val="21"/>
        </w:rPr>
      </w:pPr>
    </w:p>
    <w:p>
      <w:pPr>
        <w:spacing w:before="101" w:line="221" w:lineRule="auto"/>
        <w:ind w:left="30"/>
        <w:rPr>
          <w:rFonts w:ascii="楷体" w:hAnsi="楷体" w:eastAsia="楷体" w:cs="楷体"/>
          <w:b/>
          <w:bCs/>
          <w:spacing w:val="6"/>
          <w:sz w:val="31"/>
          <w:szCs w:val="31"/>
        </w:rPr>
        <w:sectPr>
          <w:pgSz w:w="11906" w:h="16839"/>
          <w:pgMar w:top="400" w:right="1785" w:bottom="400" w:left="1785" w:header="0" w:footer="0" w:gutter="0"/>
          <w:cols w:space="720" w:num="1"/>
        </w:sectPr>
      </w:pPr>
    </w:p>
    <w:p>
      <w:pPr>
        <w:spacing w:before="101" w:line="221" w:lineRule="auto"/>
        <w:ind w:left="30"/>
        <w:rPr>
          <w:rFonts w:ascii="楷体" w:hAnsi="楷体" w:eastAsia="楷体" w:cs="楷体"/>
          <w:sz w:val="31"/>
          <w:szCs w:val="31"/>
        </w:rPr>
      </w:pPr>
      <w:r>
        <w:rPr>
          <w:rFonts w:ascii="楷体" w:hAnsi="楷体" w:eastAsia="楷体" w:cs="楷体"/>
          <w:b/>
          <w:bCs/>
          <w:spacing w:val="6"/>
          <w:sz w:val="31"/>
          <w:szCs w:val="31"/>
        </w:rPr>
        <w:t>一、</w:t>
      </w:r>
      <w:r>
        <w:rPr>
          <w:rFonts w:hint="eastAsia" w:ascii="楷体" w:hAnsi="楷体" w:eastAsia="楷体" w:cs="楷体"/>
          <w:b/>
          <w:bCs/>
          <w:spacing w:val="6"/>
          <w:sz w:val="31"/>
          <w:szCs w:val="31"/>
          <w:lang w:eastAsia="zh-CN"/>
        </w:rPr>
        <w:t>2024年</w:t>
      </w:r>
      <w:r>
        <w:rPr>
          <w:rFonts w:ascii="楷体" w:hAnsi="楷体" w:eastAsia="楷体" w:cs="楷体"/>
          <w:b/>
          <w:bCs/>
          <w:spacing w:val="6"/>
          <w:sz w:val="31"/>
          <w:szCs w:val="31"/>
        </w:rPr>
        <w:t>部门预算收支情况说明</w:t>
      </w:r>
    </w:p>
    <w:p>
      <w:pPr>
        <w:spacing w:line="271" w:lineRule="auto"/>
        <w:rPr>
          <w:rFonts w:ascii="Arial"/>
          <w:sz w:val="21"/>
        </w:rPr>
      </w:pPr>
    </w:p>
    <w:p>
      <w:pPr>
        <w:pStyle w:val="3"/>
        <w:spacing w:before="101" w:line="222" w:lineRule="auto"/>
        <w:ind w:left="893"/>
      </w:pPr>
      <w:r>
        <w:rPr>
          <w:b/>
          <w:bCs/>
          <w:spacing w:val="-3"/>
        </w:rPr>
        <w:t>(一)收入预算情况</w:t>
      </w:r>
    </w:p>
    <w:p>
      <w:pPr>
        <w:pStyle w:val="3"/>
        <w:spacing w:before="244" w:line="372" w:lineRule="auto"/>
        <w:ind w:left="18" w:right="13" w:firstLine="666"/>
        <w:jc w:val="both"/>
      </w:pPr>
      <w:r>
        <w:rPr>
          <w:rFonts w:hint="eastAsia"/>
          <w:spacing w:val="11"/>
          <w:lang w:eastAsia="zh-CN"/>
        </w:rPr>
        <w:t>2024年区城市管理和综合执法局</w:t>
      </w:r>
      <w:r>
        <w:rPr>
          <w:spacing w:val="11"/>
        </w:rPr>
        <w:t>收入预算总额为</w:t>
      </w:r>
      <w:r>
        <w:rPr>
          <w:spacing w:val="-145"/>
        </w:rPr>
        <w:t xml:space="preserve"> </w:t>
      </w:r>
      <w:r>
        <w:rPr>
          <w:rFonts w:hint="eastAsia"/>
          <w:spacing w:val="10"/>
          <w:u w:val="single" w:color="auto"/>
        </w:rPr>
        <w:t>49,172.17</w:t>
      </w:r>
      <w:r>
        <w:rPr>
          <w:spacing w:val="-123"/>
        </w:rPr>
        <w:t xml:space="preserve"> </w:t>
      </w:r>
      <w:r>
        <w:rPr>
          <w:spacing w:val="11"/>
        </w:rPr>
        <w:t>万元,较上年预算安排增加（减少）</w:t>
      </w:r>
      <w:r>
        <w:rPr>
          <w:rFonts w:hint="eastAsia"/>
          <w:spacing w:val="11"/>
          <w:u w:val="single" w:color="auto"/>
        </w:rPr>
        <w:t xml:space="preserve">-44,809.59 </w:t>
      </w:r>
      <w:r>
        <w:rPr>
          <w:spacing w:val="11"/>
        </w:rPr>
        <w:t>万元，其中：财政拨款收入</w:t>
      </w:r>
      <w:r>
        <w:rPr>
          <w:spacing w:val="-151"/>
        </w:rPr>
        <w:t xml:space="preserve"> </w:t>
      </w:r>
      <w:r>
        <w:rPr>
          <w:rFonts w:hint="eastAsia"/>
          <w:spacing w:val="10"/>
          <w:u w:val="single" w:color="auto"/>
        </w:rPr>
        <w:t>31,222.17</w:t>
      </w:r>
      <w:r>
        <w:rPr>
          <w:spacing w:val="-124"/>
        </w:rPr>
        <w:t xml:space="preserve"> </w:t>
      </w:r>
      <w:r>
        <w:rPr>
          <w:spacing w:val="11"/>
        </w:rPr>
        <w:t>万元,较</w:t>
      </w:r>
      <w:r>
        <w:t xml:space="preserve"> </w:t>
      </w:r>
      <w:r>
        <w:rPr>
          <w:spacing w:val="23"/>
        </w:rPr>
        <w:t>上年预算安排增加（减少）</w:t>
      </w:r>
      <w:r>
        <w:rPr>
          <w:spacing w:val="-99"/>
        </w:rPr>
        <w:t xml:space="preserve"> </w:t>
      </w:r>
      <w:r>
        <w:rPr>
          <w:rFonts w:hint="eastAsia"/>
          <w:spacing w:val="22"/>
          <w:u w:val="single" w:color="auto"/>
        </w:rPr>
        <w:t xml:space="preserve">-1,509.59 </w:t>
      </w:r>
      <w:r>
        <w:rPr>
          <w:spacing w:val="-123"/>
        </w:rPr>
        <w:t xml:space="preserve"> </w:t>
      </w:r>
      <w:r>
        <w:rPr>
          <w:spacing w:val="23"/>
        </w:rPr>
        <w:t>万元;教育收费资金收</w:t>
      </w:r>
      <w:r>
        <w:rPr>
          <w:spacing w:val="23"/>
          <w:u w:val="none" w:color="auto"/>
        </w:rPr>
        <w:t>入</w:t>
      </w:r>
      <w:r>
        <w:t xml:space="preserve"> </w:t>
      </w:r>
      <w:r>
        <w:rPr>
          <w:rFonts w:hint="eastAsia"/>
          <w:u w:val="single"/>
          <w:lang w:val="en-US" w:eastAsia="zh-CN"/>
        </w:rPr>
        <w:t>0</w:t>
      </w:r>
      <w:r>
        <w:rPr>
          <w:spacing w:val="28"/>
        </w:rPr>
        <w:t>万元,较上年预算安排增加（减少）</w:t>
      </w:r>
      <w:r>
        <w:rPr>
          <w:spacing w:val="-89"/>
        </w:rPr>
        <w:t xml:space="preserve"> </w:t>
      </w:r>
      <w:r>
        <w:rPr>
          <w:rFonts w:hint="eastAsia"/>
          <w:spacing w:val="29"/>
          <w:u w:val="single" w:color="auto"/>
          <w:lang w:val="en-US" w:eastAsia="zh-CN"/>
        </w:rPr>
        <w:t>0</w:t>
      </w:r>
      <w:r>
        <w:rPr>
          <w:spacing w:val="-123"/>
        </w:rPr>
        <w:t xml:space="preserve"> </w:t>
      </w:r>
      <w:r>
        <w:rPr>
          <w:spacing w:val="28"/>
        </w:rPr>
        <w:t>万元;事业收入</w:t>
      </w:r>
      <w:r>
        <w:t xml:space="preserve"> </w:t>
      </w:r>
      <w:r>
        <w:rPr>
          <w:spacing w:val="-89"/>
        </w:rPr>
        <w:t xml:space="preserve"> </w:t>
      </w:r>
      <w:r>
        <w:rPr>
          <w:rFonts w:hint="eastAsia"/>
          <w:spacing w:val="29"/>
          <w:u w:val="single" w:color="auto"/>
          <w:lang w:val="en-US" w:eastAsia="zh-CN"/>
        </w:rPr>
        <w:t>0</w:t>
      </w:r>
      <w:r>
        <w:rPr>
          <w:spacing w:val="7"/>
        </w:rPr>
        <w:t>万元,较上年预算安排增加（减少）</w:t>
      </w:r>
      <w:r>
        <w:rPr>
          <w:spacing w:val="-89"/>
        </w:rPr>
        <w:t xml:space="preserve"> </w:t>
      </w:r>
      <w:r>
        <w:rPr>
          <w:rFonts w:hint="eastAsia"/>
          <w:spacing w:val="29"/>
          <w:u w:val="single" w:color="auto"/>
          <w:lang w:val="en-US" w:eastAsia="zh-CN"/>
        </w:rPr>
        <w:t>0</w:t>
      </w:r>
      <w:r>
        <w:rPr>
          <w:spacing w:val="7"/>
        </w:rPr>
        <w:t>万元;事业单位经营</w:t>
      </w:r>
      <w:r>
        <w:t xml:space="preserve"> </w:t>
      </w:r>
      <w:r>
        <w:rPr>
          <w:spacing w:val="8"/>
        </w:rPr>
        <w:t>收入</w:t>
      </w:r>
      <w:r>
        <w:rPr>
          <w:spacing w:val="-148"/>
        </w:rPr>
        <w:t xml:space="preserve"> </w:t>
      </w:r>
      <w:r>
        <w:rPr>
          <w:rFonts w:hint="eastAsia"/>
          <w:spacing w:val="29"/>
          <w:u w:val="single" w:color="auto"/>
          <w:lang w:val="en-US" w:eastAsia="zh-CN"/>
        </w:rPr>
        <w:t>0</w:t>
      </w:r>
      <w:r>
        <w:rPr>
          <w:spacing w:val="-124"/>
        </w:rPr>
        <w:t xml:space="preserve"> </w:t>
      </w:r>
      <w:r>
        <w:rPr>
          <w:spacing w:val="8"/>
        </w:rPr>
        <w:t>万元,较上年预算安排增加（减少）</w:t>
      </w:r>
      <w:r>
        <w:rPr>
          <w:spacing w:val="-148"/>
        </w:rPr>
        <w:t xml:space="preserve"> </w:t>
      </w:r>
      <w:r>
        <w:rPr>
          <w:rFonts w:hint="eastAsia"/>
          <w:spacing w:val="29"/>
          <w:u w:val="single" w:color="auto"/>
          <w:lang w:val="en-US" w:eastAsia="zh-CN"/>
        </w:rPr>
        <w:t>0</w:t>
      </w:r>
      <w:r>
        <w:rPr>
          <w:spacing w:val="-125"/>
        </w:rPr>
        <w:t xml:space="preserve"> </w:t>
      </w:r>
      <w:r>
        <w:rPr>
          <w:spacing w:val="8"/>
        </w:rPr>
        <w:t>万元；</w:t>
      </w:r>
      <w:r>
        <w:rPr>
          <w:spacing w:val="-91"/>
        </w:rPr>
        <w:t xml:space="preserve"> </w:t>
      </w:r>
      <w:r>
        <w:rPr>
          <w:spacing w:val="8"/>
        </w:rPr>
        <w:t>附属</w:t>
      </w:r>
      <w:r>
        <w:t xml:space="preserve"> 单位上缴收入</w:t>
      </w:r>
      <w:r>
        <w:rPr>
          <w:spacing w:val="-154"/>
        </w:rPr>
        <w:t xml:space="preserve"> </w:t>
      </w:r>
      <w:r>
        <w:rPr>
          <w:spacing w:val="-148"/>
        </w:rPr>
        <w:t xml:space="preserve"> </w:t>
      </w:r>
      <w:r>
        <w:rPr>
          <w:rFonts w:hint="eastAsia"/>
          <w:spacing w:val="29"/>
          <w:u w:val="single" w:color="auto"/>
          <w:lang w:val="en-US" w:eastAsia="zh-CN"/>
        </w:rPr>
        <w:t>0</w:t>
      </w:r>
      <w:r>
        <w:rPr>
          <w:spacing w:val="-125"/>
        </w:rPr>
        <w:t xml:space="preserve"> </w:t>
      </w:r>
      <w:r>
        <w:rPr>
          <w:spacing w:val="-124"/>
        </w:rPr>
        <w:t xml:space="preserve"> </w:t>
      </w:r>
      <w:r>
        <w:t>万元,较上年预算安排增加（减少）</w:t>
      </w:r>
      <w:r>
        <w:rPr>
          <w:spacing w:val="-154"/>
        </w:rPr>
        <w:t xml:space="preserve"> </w:t>
      </w:r>
      <w:r>
        <w:rPr>
          <w:spacing w:val="-148"/>
        </w:rPr>
        <w:t xml:space="preserve"> </w:t>
      </w:r>
      <w:r>
        <w:rPr>
          <w:rFonts w:hint="eastAsia"/>
          <w:spacing w:val="29"/>
          <w:u w:val="single" w:color="auto"/>
          <w:lang w:val="en-US" w:eastAsia="zh-CN"/>
        </w:rPr>
        <w:t>0</w:t>
      </w:r>
      <w:r>
        <w:rPr>
          <w:spacing w:val="-125"/>
        </w:rPr>
        <w:t xml:space="preserve"> </w:t>
      </w:r>
      <w:r>
        <w:rPr>
          <w:spacing w:val="-124"/>
        </w:rPr>
        <w:t xml:space="preserve"> </w:t>
      </w:r>
      <w:r>
        <w:t>万</w:t>
      </w:r>
      <w:r>
        <w:rPr>
          <w:spacing w:val="13"/>
        </w:rPr>
        <w:t>元；上级补助收入</w:t>
      </w:r>
      <w:r>
        <w:rPr>
          <w:spacing w:val="-144"/>
        </w:rPr>
        <w:t xml:space="preserve"> </w:t>
      </w:r>
      <w:r>
        <w:rPr>
          <w:rFonts w:hint="eastAsia"/>
          <w:spacing w:val="29"/>
          <w:u w:val="single" w:color="auto"/>
          <w:lang w:val="en-US" w:eastAsia="zh-CN"/>
        </w:rPr>
        <w:t>0</w:t>
      </w:r>
      <w:r>
        <w:rPr>
          <w:spacing w:val="-125"/>
        </w:rPr>
        <w:t xml:space="preserve">  </w:t>
      </w:r>
      <w:r>
        <w:rPr>
          <w:spacing w:val="13"/>
        </w:rPr>
        <w:t>万元,较上年预算安排增加（减少）</w:t>
      </w:r>
      <w:r>
        <w:rPr>
          <w:rFonts w:hint="eastAsia"/>
          <w:spacing w:val="29"/>
          <w:u w:val="single" w:color="auto"/>
          <w:lang w:val="en-US" w:eastAsia="zh-CN"/>
        </w:rPr>
        <w:t>0</w:t>
      </w:r>
      <w:r>
        <w:rPr>
          <w:spacing w:val="18"/>
        </w:rPr>
        <w:t>万元；其他收入</w:t>
      </w:r>
      <w:r>
        <w:rPr>
          <w:spacing w:val="-142"/>
        </w:rPr>
        <w:t xml:space="preserve"> </w:t>
      </w:r>
      <w:r>
        <w:rPr>
          <w:spacing w:val="17"/>
          <w:u w:val="single" w:color="auto"/>
        </w:rPr>
        <w:t xml:space="preserve"> </w:t>
      </w:r>
      <w:r>
        <w:rPr>
          <w:rFonts w:hint="eastAsia"/>
          <w:spacing w:val="17"/>
          <w:u w:val="single" w:color="auto"/>
        </w:rPr>
        <w:t>17,950.00</w:t>
      </w:r>
      <w:r>
        <w:rPr>
          <w:spacing w:val="17"/>
          <w:u w:val="single" w:color="auto"/>
        </w:rPr>
        <w:t xml:space="preserve"> </w:t>
      </w:r>
      <w:r>
        <w:rPr>
          <w:spacing w:val="-124"/>
        </w:rPr>
        <w:t xml:space="preserve"> </w:t>
      </w:r>
      <w:r>
        <w:rPr>
          <w:spacing w:val="18"/>
        </w:rPr>
        <w:t>万元，较上年预算安排增加（减少）</w:t>
      </w:r>
      <w:r>
        <w:rPr>
          <w:rFonts w:hint="eastAsia"/>
          <w:spacing w:val="18"/>
          <w:u w:val="single"/>
        </w:rPr>
        <w:t>-43,300.00</w:t>
      </w:r>
      <w:r>
        <w:rPr>
          <w:spacing w:val="7"/>
        </w:rPr>
        <w:t>万元；使用非财政拨款结余</w:t>
      </w:r>
      <w:r>
        <w:rPr>
          <w:spacing w:val="-144"/>
        </w:rPr>
        <w:t xml:space="preserve"> </w:t>
      </w:r>
      <w:r>
        <w:rPr>
          <w:rFonts w:hint="eastAsia"/>
          <w:spacing w:val="29"/>
          <w:u w:val="single" w:color="auto"/>
          <w:lang w:val="en-US" w:eastAsia="zh-CN"/>
        </w:rPr>
        <w:t>0</w:t>
      </w:r>
      <w:r>
        <w:rPr>
          <w:spacing w:val="7"/>
        </w:rPr>
        <w:t>万元，较上年预算安排增加</w:t>
      </w:r>
      <w:r>
        <w:t xml:space="preserve"> </w:t>
      </w:r>
      <w:r>
        <w:rPr>
          <w:spacing w:val="6"/>
        </w:rPr>
        <w:t>（减少）</w:t>
      </w:r>
      <w:r>
        <w:rPr>
          <w:spacing w:val="-144"/>
        </w:rPr>
        <w:t xml:space="preserve"> </w:t>
      </w:r>
      <w:r>
        <w:rPr>
          <w:rFonts w:hint="eastAsia"/>
          <w:spacing w:val="29"/>
          <w:u w:val="single" w:color="auto"/>
          <w:lang w:val="en-US" w:eastAsia="zh-CN"/>
        </w:rPr>
        <w:t>0</w:t>
      </w:r>
      <w:r>
        <w:rPr>
          <w:spacing w:val="-125"/>
        </w:rPr>
        <w:t xml:space="preserve"> </w:t>
      </w:r>
      <w:r>
        <w:rPr>
          <w:spacing w:val="6"/>
        </w:rPr>
        <w:t>万元；上年结转（结余）</w:t>
      </w:r>
      <w:r>
        <w:rPr>
          <w:rFonts w:hint="eastAsia"/>
          <w:spacing w:val="29"/>
          <w:u w:val="single" w:color="auto"/>
          <w:lang w:val="en-US" w:eastAsia="zh-CN"/>
        </w:rPr>
        <w:t>0</w:t>
      </w:r>
      <w:r>
        <w:rPr>
          <w:spacing w:val="-125"/>
        </w:rPr>
        <w:t xml:space="preserve"> </w:t>
      </w:r>
      <w:r>
        <w:rPr>
          <w:spacing w:val="-124"/>
        </w:rPr>
        <w:t xml:space="preserve"> </w:t>
      </w:r>
      <w:r>
        <w:rPr>
          <w:spacing w:val="6"/>
        </w:rPr>
        <w:t>万元，较</w:t>
      </w:r>
      <w:r>
        <w:rPr>
          <w:spacing w:val="5"/>
        </w:rPr>
        <w:t>上年预</w:t>
      </w:r>
      <w:r>
        <w:rPr>
          <w:spacing w:val="4"/>
        </w:rPr>
        <w:t>算安排增加（减少）</w:t>
      </w:r>
      <w:r>
        <w:rPr>
          <w:rFonts w:hint="eastAsia"/>
          <w:spacing w:val="29"/>
          <w:u w:val="single" w:color="auto"/>
          <w:lang w:val="en-US" w:eastAsia="zh-CN"/>
        </w:rPr>
        <w:t>0</w:t>
      </w:r>
      <w:r>
        <w:rPr>
          <w:spacing w:val="4"/>
        </w:rPr>
        <w:t>万元。</w:t>
      </w:r>
    </w:p>
    <w:p>
      <w:pPr>
        <w:pStyle w:val="3"/>
        <w:spacing w:before="251" w:line="222" w:lineRule="auto"/>
        <w:ind w:left="893"/>
      </w:pPr>
      <w:r>
        <w:rPr>
          <w:b/>
          <w:bCs/>
          <w:spacing w:val="-3"/>
        </w:rPr>
        <w:t>(二)支出预算情况</w:t>
      </w:r>
    </w:p>
    <w:p>
      <w:pPr>
        <w:pStyle w:val="3"/>
        <w:spacing w:before="250" w:line="372" w:lineRule="auto"/>
        <w:ind w:right="16" w:firstLine="664" w:firstLineChars="200"/>
        <w:jc w:val="left"/>
      </w:pPr>
      <w:r>
        <w:rPr>
          <w:rFonts w:hint="eastAsia"/>
          <w:spacing w:val="11"/>
          <w:lang w:eastAsia="zh-CN"/>
        </w:rPr>
        <w:t>2024年南昌市新建区城市管理和综合执法局</w:t>
      </w:r>
      <w:r>
        <w:rPr>
          <w:spacing w:val="11"/>
        </w:rPr>
        <w:t>支出预算总额为</w:t>
      </w:r>
      <w:r>
        <w:rPr>
          <w:spacing w:val="-145"/>
        </w:rPr>
        <w:t xml:space="preserve"> </w:t>
      </w:r>
      <w:r>
        <w:rPr>
          <w:spacing w:val="10"/>
          <w:u w:val="single" w:color="auto"/>
        </w:rPr>
        <w:t xml:space="preserve">  </w:t>
      </w:r>
      <w:r>
        <w:rPr>
          <w:rFonts w:hint="eastAsia"/>
          <w:spacing w:val="10"/>
          <w:u w:val="single" w:color="auto"/>
        </w:rPr>
        <w:t>49,172.17</w:t>
      </w:r>
      <w:r>
        <w:rPr>
          <w:spacing w:val="10"/>
          <w:u w:val="single" w:color="auto"/>
        </w:rPr>
        <w:t xml:space="preserve">  </w:t>
      </w:r>
      <w:r>
        <w:rPr>
          <w:spacing w:val="-123"/>
        </w:rPr>
        <w:t xml:space="preserve"> </w:t>
      </w:r>
      <w:r>
        <w:rPr>
          <w:spacing w:val="11"/>
        </w:rPr>
        <w:t>万元,较上年预算安排</w:t>
      </w:r>
      <w:r>
        <w:rPr>
          <w:spacing w:val="5"/>
        </w:rPr>
        <w:t>增加（减少）</w:t>
      </w:r>
      <w:r>
        <w:rPr>
          <w:spacing w:val="5"/>
          <w:u w:val="single" w:color="auto"/>
        </w:rPr>
        <w:t xml:space="preserve"> </w:t>
      </w:r>
      <w:r>
        <w:rPr>
          <w:rFonts w:hint="eastAsia"/>
          <w:spacing w:val="18"/>
          <w:u w:val="single"/>
        </w:rPr>
        <w:t>-43,300.00</w:t>
      </w:r>
      <w:r>
        <w:rPr>
          <w:spacing w:val="5"/>
          <w:u w:val="single" w:color="auto"/>
        </w:rPr>
        <w:t xml:space="preserve"> </w:t>
      </w:r>
      <w:r>
        <w:rPr>
          <w:spacing w:val="-122"/>
        </w:rPr>
        <w:t xml:space="preserve"> </w:t>
      </w:r>
      <w:r>
        <w:rPr>
          <w:spacing w:val="5"/>
        </w:rPr>
        <w:t>万元;其中：</w:t>
      </w:r>
    </w:p>
    <w:p>
      <w:pPr>
        <w:pStyle w:val="3"/>
        <w:spacing w:before="247" w:line="372" w:lineRule="auto"/>
        <w:ind w:left="22" w:right="15" w:firstLine="645"/>
      </w:pPr>
      <w:r>
        <w:rPr>
          <w:spacing w:val="12"/>
        </w:rPr>
        <w:t>按支出项目类别划分：基本支出</w:t>
      </w:r>
      <w:r>
        <w:rPr>
          <w:spacing w:val="-132"/>
        </w:rPr>
        <w:t xml:space="preserve"> </w:t>
      </w:r>
      <w:r>
        <w:rPr>
          <w:spacing w:val="11"/>
          <w:u w:val="single" w:color="auto"/>
        </w:rPr>
        <w:t xml:space="preserve"> </w:t>
      </w:r>
      <w:r>
        <w:rPr>
          <w:rFonts w:hint="eastAsia"/>
          <w:spacing w:val="11"/>
          <w:u w:val="single" w:color="auto"/>
        </w:rPr>
        <w:t xml:space="preserve">4,620.67 </w:t>
      </w:r>
      <w:r>
        <w:rPr>
          <w:spacing w:val="11"/>
          <w:u w:val="single" w:color="auto"/>
        </w:rPr>
        <w:t xml:space="preserve"> </w:t>
      </w:r>
      <w:r>
        <w:rPr>
          <w:spacing w:val="-123"/>
        </w:rPr>
        <w:t xml:space="preserve"> </w:t>
      </w:r>
      <w:r>
        <w:rPr>
          <w:spacing w:val="12"/>
        </w:rPr>
        <w:t>万元,较上年预算</w:t>
      </w:r>
      <w:r>
        <w:rPr>
          <w:spacing w:val="6"/>
        </w:rPr>
        <w:t>安排增加（减少）</w:t>
      </w:r>
      <w:r>
        <w:rPr>
          <w:spacing w:val="6"/>
          <w:u w:val="single" w:color="auto"/>
        </w:rPr>
        <w:t xml:space="preserve"> </w:t>
      </w:r>
      <w:r>
        <w:rPr>
          <w:rFonts w:hint="eastAsia"/>
          <w:spacing w:val="6"/>
          <w:u w:val="single" w:color="auto"/>
        </w:rPr>
        <w:t xml:space="preserve">794.28 </w:t>
      </w:r>
      <w:r>
        <w:rPr>
          <w:spacing w:val="6"/>
          <w:u w:val="single" w:color="auto"/>
        </w:rPr>
        <w:t xml:space="preserve"> </w:t>
      </w:r>
      <w:r>
        <w:rPr>
          <w:spacing w:val="-125"/>
        </w:rPr>
        <w:t xml:space="preserve"> </w:t>
      </w:r>
      <w:r>
        <w:rPr>
          <w:spacing w:val="6"/>
        </w:rPr>
        <w:t>万元;其中：工</w:t>
      </w:r>
      <w:r>
        <w:rPr>
          <w:spacing w:val="5"/>
        </w:rPr>
        <w:t>资福利支出</w:t>
      </w:r>
      <w:r>
        <w:rPr>
          <w:rFonts w:hint="eastAsia"/>
          <w:spacing w:val="5"/>
        </w:rPr>
        <w:t xml:space="preserve"> </w:t>
      </w:r>
      <w:r>
        <w:rPr>
          <w:spacing w:val="5"/>
          <w:u w:val="single" w:color="auto"/>
        </w:rPr>
        <w:t xml:space="preserve"> </w:t>
      </w:r>
      <w:r>
        <w:rPr>
          <w:rFonts w:hint="eastAsia"/>
          <w:spacing w:val="5"/>
          <w:u w:val="single" w:color="auto"/>
        </w:rPr>
        <w:t xml:space="preserve">4,127.92 </w:t>
      </w:r>
      <w:r>
        <w:rPr>
          <w:spacing w:val="-124"/>
        </w:rPr>
        <w:t xml:space="preserve"> </w:t>
      </w:r>
      <w:r>
        <w:rPr>
          <w:spacing w:val="5"/>
        </w:rPr>
        <w:t>万元,</w:t>
      </w:r>
      <w:r>
        <w:t xml:space="preserve"> </w:t>
      </w:r>
      <w:r>
        <w:rPr>
          <w:spacing w:val="15"/>
        </w:rPr>
        <w:t>商品和服务支出</w:t>
      </w:r>
      <w:r>
        <w:rPr>
          <w:spacing w:val="-134"/>
        </w:rPr>
        <w:t xml:space="preserve"> </w:t>
      </w:r>
      <w:r>
        <w:rPr>
          <w:spacing w:val="15"/>
          <w:u w:val="single" w:color="auto"/>
        </w:rPr>
        <w:t xml:space="preserve"> </w:t>
      </w:r>
      <w:r>
        <w:rPr>
          <w:rFonts w:hint="eastAsia"/>
          <w:spacing w:val="15"/>
          <w:u w:val="single" w:color="auto"/>
        </w:rPr>
        <w:t xml:space="preserve">481.57 </w:t>
      </w:r>
      <w:r>
        <w:rPr>
          <w:spacing w:val="-122"/>
        </w:rPr>
        <w:t xml:space="preserve"> </w:t>
      </w:r>
      <w:r>
        <w:rPr>
          <w:spacing w:val="15"/>
        </w:rPr>
        <w:t>万元,对个人和家庭的补助</w:t>
      </w:r>
      <w:r>
        <w:rPr>
          <w:spacing w:val="-146"/>
        </w:rPr>
        <w:t xml:space="preserve"> </w:t>
      </w:r>
      <w:r>
        <w:rPr>
          <w:spacing w:val="15"/>
          <w:u w:val="single" w:color="auto"/>
        </w:rPr>
        <w:t xml:space="preserve"> </w:t>
      </w:r>
      <w:r>
        <w:rPr>
          <w:rFonts w:hint="eastAsia"/>
          <w:spacing w:val="15"/>
          <w:u w:val="single" w:color="auto"/>
        </w:rPr>
        <w:t xml:space="preserve">11.19 </w:t>
      </w:r>
      <w:r>
        <w:rPr>
          <w:spacing w:val="15"/>
          <w:u w:val="single" w:color="auto"/>
        </w:rPr>
        <w:t xml:space="preserve"> </w:t>
      </w:r>
      <w:r>
        <w:rPr>
          <w:spacing w:val="-123"/>
        </w:rPr>
        <w:t xml:space="preserve"> </w:t>
      </w:r>
      <w:r>
        <w:rPr>
          <w:spacing w:val="15"/>
        </w:rPr>
        <w:t>万元,</w:t>
      </w:r>
      <w:r>
        <w:t xml:space="preserve"> 资本性支出</w:t>
      </w:r>
      <w:r>
        <w:rPr>
          <w:spacing w:val="-153"/>
        </w:rPr>
        <w:t xml:space="preserve"> </w:t>
      </w:r>
      <w:r>
        <w:rPr>
          <w:spacing w:val="4"/>
          <w:u w:val="single" w:color="auto"/>
        </w:rPr>
        <w:t xml:space="preserve"> </w:t>
      </w:r>
      <w:r>
        <w:rPr>
          <w:rFonts w:hint="eastAsia"/>
          <w:spacing w:val="4"/>
          <w:u w:val="single" w:color="auto"/>
          <w:lang w:val="en-US" w:eastAsia="zh-CN"/>
        </w:rPr>
        <w:t>0</w:t>
      </w:r>
      <w:r>
        <w:rPr>
          <w:spacing w:val="4"/>
          <w:u w:val="single" w:color="auto"/>
        </w:rPr>
        <w:t xml:space="preserve"> </w:t>
      </w:r>
      <w:r>
        <w:rPr>
          <w:spacing w:val="-122"/>
        </w:rPr>
        <w:t xml:space="preserve"> </w:t>
      </w:r>
      <w:r>
        <w:t>万元；项目支出</w:t>
      </w:r>
      <w:r>
        <w:rPr>
          <w:u w:val="single" w:color="auto"/>
        </w:rPr>
        <w:t xml:space="preserve"> </w:t>
      </w:r>
      <w:r>
        <w:rPr>
          <w:rFonts w:hint="eastAsia"/>
          <w:u w:val="single" w:color="auto"/>
        </w:rPr>
        <w:t>44,551.50</w:t>
      </w:r>
      <w:r>
        <w:rPr>
          <w:u w:val="single" w:color="auto"/>
        </w:rPr>
        <w:t xml:space="preserve"> </w:t>
      </w:r>
      <w:r>
        <w:rPr>
          <w:spacing w:val="-124"/>
        </w:rPr>
        <w:t xml:space="preserve"> </w:t>
      </w:r>
      <w:r>
        <w:t>万元,较上年预</w:t>
      </w:r>
      <w:r>
        <w:rPr>
          <w:spacing w:val="-1"/>
        </w:rPr>
        <w:t>算安排</w:t>
      </w:r>
      <w:r>
        <w:t xml:space="preserve"> </w:t>
      </w:r>
      <w:r>
        <w:rPr>
          <w:spacing w:val="5"/>
        </w:rPr>
        <w:t>增加（减少）</w:t>
      </w:r>
      <w:r>
        <w:rPr>
          <w:spacing w:val="5"/>
          <w:u w:val="single" w:color="auto"/>
        </w:rPr>
        <w:t xml:space="preserve"> </w:t>
      </w:r>
      <w:r>
        <w:rPr>
          <w:rFonts w:hint="eastAsia"/>
          <w:spacing w:val="5"/>
          <w:u w:val="single" w:color="auto"/>
        </w:rPr>
        <w:t>-45,603.87</w:t>
      </w:r>
      <w:r>
        <w:rPr>
          <w:spacing w:val="-107"/>
        </w:rPr>
        <w:t xml:space="preserve"> </w:t>
      </w:r>
      <w:r>
        <w:rPr>
          <w:spacing w:val="5"/>
        </w:rPr>
        <w:t>万元;其中：工资福利支出</w:t>
      </w:r>
      <w:r>
        <w:rPr>
          <w:spacing w:val="5"/>
          <w:u w:val="single" w:color="auto"/>
        </w:rPr>
        <w:t xml:space="preserve"> </w:t>
      </w:r>
      <w:r>
        <w:rPr>
          <w:rFonts w:hint="eastAsia"/>
          <w:spacing w:val="5"/>
          <w:u w:val="single" w:color="auto"/>
        </w:rPr>
        <w:t>5,600.81</w:t>
      </w:r>
      <w:r>
        <w:rPr>
          <w:spacing w:val="5"/>
          <w:u w:val="single" w:color="auto"/>
        </w:rPr>
        <w:t xml:space="preserve"> </w:t>
      </w:r>
      <w:r>
        <w:rPr>
          <w:spacing w:val="-124"/>
        </w:rPr>
        <w:t xml:space="preserve"> </w:t>
      </w:r>
      <w:r>
        <w:rPr>
          <w:spacing w:val="5"/>
        </w:rPr>
        <w:t>万元,商品</w:t>
      </w:r>
      <w:r>
        <w:rPr>
          <w:spacing w:val="15"/>
        </w:rPr>
        <w:t>和服务支出</w:t>
      </w:r>
      <w:r>
        <w:rPr>
          <w:spacing w:val="-146"/>
        </w:rPr>
        <w:t xml:space="preserve"> </w:t>
      </w:r>
      <w:r>
        <w:rPr>
          <w:spacing w:val="15"/>
          <w:u w:val="single" w:color="auto"/>
        </w:rPr>
        <w:t xml:space="preserve"> </w:t>
      </w:r>
      <w:r>
        <w:rPr>
          <w:rFonts w:hint="eastAsia"/>
          <w:spacing w:val="15"/>
          <w:u w:val="single" w:color="auto"/>
        </w:rPr>
        <w:t>23,079.19</w:t>
      </w:r>
      <w:r>
        <w:rPr>
          <w:spacing w:val="15"/>
          <w:u w:val="single" w:color="auto"/>
        </w:rPr>
        <w:t xml:space="preserve"> </w:t>
      </w:r>
      <w:r>
        <w:rPr>
          <w:spacing w:val="-123"/>
        </w:rPr>
        <w:t xml:space="preserve"> </w:t>
      </w:r>
      <w:r>
        <w:rPr>
          <w:spacing w:val="15"/>
        </w:rPr>
        <w:t>万元,对个人和家庭的补助</w:t>
      </w:r>
      <w:r>
        <w:rPr>
          <w:spacing w:val="-144"/>
        </w:rPr>
        <w:t xml:space="preserve"> </w:t>
      </w:r>
      <w:r>
        <w:rPr>
          <w:rFonts w:hint="eastAsia"/>
          <w:spacing w:val="15"/>
          <w:u w:val="single" w:color="auto"/>
          <w:lang w:val="en-US" w:eastAsia="zh-CN"/>
        </w:rPr>
        <w:t>0</w:t>
      </w:r>
      <w:r>
        <w:rPr>
          <w:spacing w:val="-122"/>
        </w:rPr>
        <w:t xml:space="preserve"> </w:t>
      </w:r>
      <w:r>
        <w:rPr>
          <w:spacing w:val="15"/>
        </w:rPr>
        <w:t>万元,债务</w:t>
      </w:r>
      <w:r>
        <w:rPr>
          <w:spacing w:val="6"/>
        </w:rPr>
        <w:t>利息及费用支出</w:t>
      </w:r>
      <w:r>
        <w:rPr>
          <w:spacing w:val="-155"/>
        </w:rPr>
        <w:t xml:space="preserve"> </w:t>
      </w:r>
      <w:r>
        <w:rPr>
          <w:spacing w:val="5"/>
          <w:u w:val="single" w:color="auto"/>
        </w:rPr>
        <w:t xml:space="preserve"> </w:t>
      </w:r>
      <w:r>
        <w:rPr>
          <w:rFonts w:hint="eastAsia"/>
          <w:spacing w:val="5"/>
          <w:u w:val="single" w:color="auto"/>
          <w:lang w:val="en-US" w:eastAsia="zh-CN"/>
        </w:rPr>
        <w:t>0</w:t>
      </w:r>
      <w:r>
        <w:rPr>
          <w:spacing w:val="-125"/>
        </w:rPr>
        <w:t xml:space="preserve"> </w:t>
      </w:r>
      <w:r>
        <w:rPr>
          <w:spacing w:val="6"/>
        </w:rPr>
        <w:t>万元，资本性支出（基本建设）</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w:t>
      </w:r>
      <w:r>
        <w:t xml:space="preserve"> </w:t>
      </w:r>
      <w:r>
        <w:rPr>
          <w:spacing w:val="10"/>
        </w:rPr>
        <w:t>元,资本性支出</w:t>
      </w:r>
      <w:r>
        <w:rPr>
          <w:spacing w:val="-147"/>
        </w:rPr>
        <w:t xml:space="preserve"> </w:t>
      </w:r>
      <w:r>
        <w:rPr>
          <w:rFonts w:hint="eastAsia"/>
          <w:spacing w:val="10"/>
          <w:u w:val="single" w:color="auto"/>
        </w:rPr>
        <w:t>53.50</w:t>
      </w:r>
      <w:r>
        <w:rPr>
          <w:spacing w:val="-124"/>
        </w:rPr>
        <w:t xml:space="preserve"> </w:t>
      </w:r>
      <w:r>
        <w:rPr>
          <w:spacing w:val="10"/>
        </w:rPr>
        <w:t>万元，对企业补助</w:t>
      </w:r>
      <w:r>
        <w:rPr>
          <w:spacing w:val="-148"/>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5"/>
        </w:rPr>
        <w:t xml:space="preserve"> </w:t>
      </w:r>
      <w:r>
        <w:rPr>
          <w:spacing w:val="10"/>
        </w:rPr>
        <w:t>万元，其他支出</w:t>
      </w:r>
      <w:r>
        <w:rPr>
          <w:rFonts w:hint="eastAsia"/>
          <w:spacing w:val="10"/>
          <w:u w:val="single"/>
          <w:lang w:val="en-US" w:eastAsia="zh-CN"/>
        </w:rPr>
        <w:t>15,818.00</w:t>
      </w:r>
      <w:r>
        <w:rPr>
          <w:spacing w:val="-4"/>
        </w:rPr>
        <w:t>万元。</w:t>
      </w:r>
    </w:p>
    <w:p>
      <w:pPr>
        <w:pStyle w:val="3"/>
        <w:spacing w:before="232" w:line="372" w:lineRule="auto"/>
        <w:ind w:left="22" w:right="6" w:firstLine="645"/>
      </w:pPr>
      <w:r>
        <w:rPr>
          <w:spacing w:val="12"/>
        </w:rPr>
        <w:t>按支出功能科目划分：</w:t>
      </w:r>
      <w:r>
        <w:rPr>
          <w:spacing w:val="9"/>
        </w:rPr>
        <w:t>社会保障和就业支出</w:t>
      </w:r>
      <w:r>
        <w:rPr>
          <w:rFonts w:hint="eastAsia"/>
          <w:spacing w:val="9"/>
        </w:rPr>
        <w:t>421.71</w:t>
      </w:r>
      <w:r>
        <w:rPr>
          <w:spacing w:val="9"/>
        </w:rPr>
        <w:t>万元,较上年预算安排增加（减少）</w:t>
      </w:r>
      <w:r>
        <w:rPr>
          <w:spacing w:val="1"/>
          <w:u w:val="single"/>
        </w:rPr>
        <w:t xml:space="preserve"> </w:t>
      </w:r>
      <w:r>
        <w:rPr>
          <w:rFonts w:hint="eastAsia"/>
          <w:spacing w:val="1"/>
          <w:u w:val="single"/>
        </w:rPr>
        <w:t>18.47</w:t>
      </w:r>
      <w:r>
        <w:rPr>
          <w:rFonts w:hint="eastAsia"/>
          <w:spacing w:val="1"/>
        </w:rPr>
        <w:t xml:space="preserve"> </w:t>
      </w:r>
      <w:r>
        <w:rPr>
          <w:spacing w:val="7"/>
        </w:rPr>
        <w:t>万元;卫生健康支出</w:t>
      </w:r>
      <w:r>
        <w:rPr>
          <w:spacing w:val="-137"/>
        </w:rPr>
        <w:t xml:space="preserve"> </w:t>
      </w:r>
      <w:r>
        <w:rPr>
          <w:rFonts w:hint="eastAsia"/>
          <w:spacing w:val="5"/>
          <w:u w:val="single" w:color="auto"/>
        </w:rPr>
        <w:t>367.83</w:t>
      </w:r>
      <w:r>
        <w:rPr>
          <w:spacing w:val="-124"/>
        </w:rPr>
        <w:t xml:space="preserve"> </w:t>
      </w:r>
      <w:r>
        <w:rPr>
          <w:spacing w:val="7"/>
        </w:rPr>
        <w:t>万元,较上年预算安排增加（减少）</w:t>
      </w:r>
      <w:r>
        <w:rPr>
          <w:rFonts w:hint="eastAsia"/>
          <w:spacing w:val="7"/>
          <w:u w:val="single"/>
        </w:rPr>
        <w:t>138.38</w:t>
      </w:r>
      <w:r>
        <w:rPr>
          <w:rFonts w:hint="eastAsia"/>
          <w:spacing w:val="7"/>
        </w:rPr>
        <w:t xml:space="preserve"> </w:t>
      </w:r>
      <w:r>
        <w:rPr>
          <w:spacing w:val="7"/>
        </w:rPr>
        <w:t>万元;城乡社区支出</w:t>
      </w:r>
      <w:r>
        <w:rPr>
          <w:spacing w:val="-137"/>
        </w:rPr>
        <w:t xml:space="preserve"> </w:t>
      </w:r>
      <w:r>
        <w:rPr>
          <w:rFonts w:hint="eastAsia"/>
          <w:spacing w:val="5"/>
          <w:u w:val="single" w:color="auto"/>
        </w:rPr>
        <w:t>48023.40</w:t>
      </w:r>
      <w:r>
        <w:rPr>
          <w:spacing w:val="-124"/>
        </w:rPr>
        <w:t xml:space="preserve"> </w:t>
      </w:r>
      <w:r>
        <w:rPr>
          <w:spacing w:val="7"/>
        </w:rPr>
        <w:t>万元,较上年预算安排增加（减少）</w:t>
      </w:r>
      <w:r>
        <w:t xml:space="preserve"> </w:t>
      </w:r>
      <w:r>
        <w:rPr>
          <w:rFonts w:hint="eastAsia"/>
        </w:rPr>
        <w:t xml:space="preserve">-45,032.97 </w:t>
      </w:r>
      <w:r>
        <w:rPr>
          <w:spacing w:val="18"/>
        </w:rPr>
        <w:t>万元;</w:t>
      </w:r>
      <w:r>
        <w:rPr>
          <w:spacing w:val="7"/>
        </w:rPr>
        <w:t>住房保障支出</w:t>
      </w:r>
      <w:r>
        <w:rPr>
          <w:rFonts w:hint="eastAsia"/>
          <w:spacing w:val="11"/>
          <w:u w:val="single"/>
        </w:rPr>
        <w:t>359.23</w:t>
      </w:r>
      <w:r>
        <w:rPr>
          <w:spacing w:val="11"/>
        </w:rPr>
        <w:t>万元,较上年预算安排增加（减少）</w:t>
      </w:r>
      <w:r>
        <w:rPr>
          <w:spacing w:val="-125"/>
        </w:rPr>
        <w:t xml:space="preserve"> </w:t>
      </w:r>
      <w:r>
        <w:rPr>
          <w:rFonts w:hint="eastAsia"/>
          <w:spacing w:val="10"/>
          <w:u w:val="single" w:color="auto"/>
        </w:rPr>
        <w:t xml:space="preserve">66.52 </w:t>
      </w:r>
      <w:r>
        <w:rPr>
          <w:spacing w:val="-122"/>
        </w:rPr>
        <w:t xml:space="preserve"> </w:t>
      </w:r>
      <w:r>
        <w:rPr>
          <w:spacing w:val="11"/>
        </w:rPr>
        <w:t>万元</w:t>
      </w:r>
      <w:r>
        <w:rPr>
          <w:spacing w:val="-1"/>
        </w:rPr>
        <w:t>。</w:t>
      </w:r>
    </w:p>
    <w:p>
      <w:pPr>
        <w:pStyle w:val="3"/>
        <w:spacing w:before="242" w:line="372" w:lineRule="auto"/>
        <w:ind w:left="21" w:right="18" w:firstLine="647"/>
        <w:jc w:val="both"/>
      </w:pPr>
      <w:r>
        <w:rPr>
          <w:spacing w:val="13"/>
        </w:rPr>
        <w:t>按支出经济分类划分：工资福利支出</w:t>
      </w:r>
      <w:r>
        <w:rPr>
          <w:spacing w:val="-149"/>
        </w:rPr>
        <w:t xml:space="preserve"> </w:t>
      </w:r>
      <w:r>
        <w:rPr>
          <w:rFonts w:hint="eastAsia"/>
          <w:spacing w:val="10"/>
          <w:u w:val="single" w:color="auto"/>
        </w:rPr>
        <w:t>9,728.73</w:t>
      </w:r>
      <w:r>
        <w:rPr>
          <w:spacing w:val="-122"/>
        </w:rPr>
        <w:t xml:space="preserve"> </w:t>
      </w:r>
      <w:r>
        <w:rPr>
          <w:spacing w:val="13"/>
        </w:rPr>
        <w:t>万元,较上年</w:t>
      </w:r>
      <w:r>
        <w:rPr>
          <w:spacing w:val="6"/>
        </w:rPr>
        <w:t>预算安排增加（减少）</w:t>
      </w:r>
      <w:r>
        <w:rPr>
          <w:rFonts w:hint="eastAsia"/>
          <w:spacing w:val="6"/>
          <w:u w:val="single" w:color="auto"/>
        </w:rPr>
        <w:t xml:space="preserve">303.10 </w:t>
      </w:r>
      <w:r>
        <w:rPr>
          <w:spacing w:val="-125"/>
        </w:rPr>
        <w:t xml:space="preserve"> </w:t>
      </w:r>
      <w:r>
        <w:rPr>
          <w:spacing w:val="6"/>
        </w:rPr>
        <w:t>万元;商品和</w:t>
      </w:r>
      <w:r>
        <w:rPr>
          <w:spacing w:val="5"/>
        </w:rPr>
        <w:t>服务支出</w:t>
      </w:r>
      <w:r>
        <w:rPr>
          <w:spacing w:val="-153"/>
        </w:rPr>
        <w:t xml:space="preserve"> </w:t>
      </w:r>
      <w:r>
        <w:rPr>
          <w:spacing w:val="4"/>
          <w:u w:val="single" w:color="auto"/>
        </w:rPr>
        <w:t xml:space="preserve">    </w:t>
      </w:r>
      <w:r>
        <w:rPr>
          <w:spacing w:val="-122"/>
        </w:rPr>
        <w:t xml:space="preserve"> </w:t>
      </w:r>
      <w:r>
        <w:rPr>
          <w:spacing w:val="10"/>
          <w:u w:val="single" w:color="auto"/>
        </w:rPr>
        <w:t xml:space="preserve"> </w:t>
      </w:r>
      <w:r>
        <w:rPr>
          <w:rFonts w:hint="eastAsia"/>
          <w:spacing w:val="10"/>
          <w:u w:val="single" w:color="auto"/>
        </w:rPr>
        <w:t>23,560.76</w:t>
      </w:r>
      <w:r>
        <w:rPr>
          <w:spacing w:val="5"/>
        </w:rPr>
        <w:t>万元,</w:t>
      </w:r>
      <w:r>
        <w:t xml:space="preserve"> </w:t>
      </w:r>
      <w:r>
        <w:rPr>
          <w:spacing w:val="12"/>
        </w:rPr>
        <w:t>较上年预算安排增加（减少）</w:t>
      </w:r>
      <w:r>
        <w:rPr>
          <w:spacing w:val="-126"/>
        </w:rPr>
        <w:t xml:space="preserve"> </w:t>
      </w:r>
      <w:r>
        <w:rPr>
          <w:rFonts w:hint="eastAsia"/>
          <w:spacing w:val="10"/>
          <w:u w:val="single" w:color="auto"/>
        </w:rPr>
        <w:t xml:space="preserve">-21,727.74 </w:t>
      </w:r>
      <w:r>
        <w:rPr>
          <w:spacing w:val="10"/>
          <w:u w:val="single" w:color="auto"/>
        </w:rPr>
        <w:t xml:space="preserve"> </w:t>
      </w:r>
      <w:r>
        <w:rPr>
          <w:spacing w:val="-122"/>
        </w:rPr>
        <w:t xml:space="preserve"> </w:t>
      </w:r>
      <w:r>
        <w:rPr>
          <w:spacing w:val="12"/>
        </w:rPr>
        <w:t>万元;对个人和家庭的补</w:t>
      </w:r>
      <w:r>
        <w:rPr>
          <w:spacing w:val="6"/>
        </w:rPr>
        <w:t>助</w:t>
      </w:r>
      <w:r>
        <w:rPr>
          <w:spacing w:val="-155"/>
        </w:rPr>
        <w:t xml:space="preserve"> </w:t>
      </w:r>
      <w:r>
        <w:rPr>
          <w:spacing w:val="5"/>
          <w:u w:val="single" w:color="auto"/>
        </w:rPr>
        <w:t xml:space="preserve"> </w:t>
      </w:r>
      <w:r>
        <w:rPr>
          <w:rFonts w:hint="eastAsia"/>
          <w:spacing w:val="5"/>
          <w:u w:val="single" w:color="auto"/>
        </w:rPr>
        <w:t>11.19</w:t>
      </w:r>
      <w:r>
        <w:rPr>
          <w:spacing w:val="5"/>
          <w:u w:val="single" w:color="auto"/>
        </w:rPr>
        <w:t xml:space="preserve"> </w:t>
      </w:r>
      <w:r>
        <w:rPr>
          <w:spacing w:val="-124"/>
        </w:rPr>
        <w:t xml:space="preserve"> </w:t>
      </w:r>
      <w:r>
        <w:rPr>
          <w:spacing w:val="6"/>
        </w:rPr>
        <w:t>万元,较上年预算安排增加（减少）</w:t>
      </w:r>
      <w:r>
        <w:rPr>
          <w:rFonts w:hint="eastAsia"/>
          <w:spacing w:val="6"/>
          <w:u w:val="single" w:color="auto"/>
        </w:rPr>
        <w:t xml:space="preserve">-390.45 </w:t>
      </w:r>
      <w:r>
        <w:rPr>
          <w:spacing w:val="-125"/>
        </w:rPr>
        <w:t xml:space="preserve"> </w:t>
      </w:r>
      <w:r>
        <w:rPr>
          <w:spacing w:val="5"/>
        </w:rPr>
        <w:t>万元;债务利</w:t>
      </w:r>
      <w:r>
        <w:rPr>
          <w:spacing w:val="-6"/>
        </w:rPr>
        <w:t>息及费用支出</w:t>
      </w:r>
      <w:r>
        <w:rPr>
          <w:spacing w:val="-147"/>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6"/>
        </w:rPr>
        <w:t>万元，较上年预算安排增加（减少）</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w:t>
      </w:r>
      <w:r>
        <w:t xml:space="preserve"> </w:t>
      </w:r>
      <w:r>
        <w:rPr>
          <w:spacing w:val="12"/>
        </w:rPr>
        <w:t>元；资本性支出（基本建设）</w:t>
      </w:r>
      <w:r>
        <w:rPr>
          <w:spacing w:val="-126"/>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2"/>
        </w:rPr>
        <w:t xml:space="preserve"> </w:t>
      </w:r>
      <w:r>
        <w:rPr>
          <w:spacing w:val="12"/>
        </w:rPr>
        <w:t>万元,较上年预算安排增</w:t>
      </w:r>
      <w:r>
        <w:t xml:space="preserve"> </w:t>
      </w:r>
      <w:r>
        <w:rPr>
          <w:spacing w:val="10"/>
        </w:rPr>
        <w:t>加（减少）</w:t>
      </w:r>
      <w:r>
        <w:rPr>
          <w:spacing w:val="-131"/>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4"/>
        </w:rPr>
        <w:t xml:space="preserve"> </w:t>
      </w:r>
      <w:r>
        <w:rPr>
          <w:spacing w:val="10"/>
        </w:rPr>
        <w:t>万元；资本性支出</w:t>
      </w:r>
      <w:r>
        <w:rPr>
          <w:spacing w:val="-150"/>
        </w:rPr>
        <w:t xml:space="preserve"> </w:t>
      </w:r>
      <w:r>
        <w:rPr>
          <w:spacing w:val="10"/>
          <w:u w:val="single" w:color="auto"/>
        </w:rPr>
        <w:t xml:space="preserve"> </w:t>
      </w:r>
      <w:r>
        <w:rPr>
          <w:rFonts w:hint="eastAsia"/>
          <w:spacing w:val="10"/>
          <w:u w:val="single" w:color="auto"/>
        </w:rPr>
        <w:t>53.50</w:t>
      </w:r>
      <w:r>
        <w:rPr>
          <w:spacing w:val="10"/>
          <w:u w:val="single" w:color="auto"/>
        </w:rPr>
        <w:t xml:space="preserve"> </w:t>
      </w:r>
      <w:r>
        <w:rPr>
          <w:spacing w:val="-125"/>
        </w:rPr>
        <w:t xml:space="preserve"> </w:t>
      </w:r>
      <w:r>
        <w:rPr>
          <w:spacing w:val="10"/>
        </w:rPr>
        <w:t>万元,较上年预算安</w:t>
      </w:r>
      <w:r>
        <w:t xml:space="preserve"> </w:t>
      </w:r>
      <w:r>
        <w:rPr>
          <w:spacing w:val="6"/>
        </w:rPr>
        <w:t>排增加（减少）</w:t>
      </w:r>
      <w:r>
        <w:rPr>
          <w:rFonts w:hint="eastAsia"/>
          <w:spacing w:val="6"/>
          <w:u w:val="single"/>
        </w:rPr>
        <w:t>-312.50</w:t>
      </w:r>
      <w:r>
        <w:rPr>
          <w:rFonts w:hint="eastAsia"/>
          <w:spacing w:val="6"/>
        </w:rPr>
        <w:t xml:space="preserve"> </w:t>
      </w:r>
      <w:r>
        <w:rPr>
          <w:spacing w:val="-124"/>
        </w:rPr>
        <w:t xml:space="preserve"> </w:t>
      </w:r>
      <w:r>
        <w:rPr>
          <w:spacing w:val="6"/>
        </w:rPr>
        <w:t>万元；对企业补助（基本建设）</w:t>
      </w:r>
      <w:r>
        <w:rPr>
          <w:rFonts w:hint="eastAsia"/>
          <w:spacing w:val="6"/>
          <w:u w:val="single" w:color="auto"/>
          <w:lang w:val="en-US" w:eastAsia="zh-CN"/>
        </w:rPr>
        <w:t>0</w:t>
      </w:r>
      <w:r>
        <w:rPr>
          <w:spacing w:val="5"/>
          <w:u w:val="single" w:color="auto"/>
        </w:rPr>
        <w:t xml:space="preserve"> </w:t>
      </w:r>
      <w:r>
        <w:rPr>
          <w:spacing w:val="-125"/>
        </w:rPr>
        <w:t xml:space="preserve"> </w:t>
      </w:r>
      <w:r>
        <w:rPr>
          <w:spacing w:val="5"/>
        </w:rPr>
        <w:t>万</w:t>
      </w:r>
      <w:r>
        <w:t xml:space="preserve"> </w:t>
      </w:r>
      <w:r>
        <w:rPr>
          <w:spacing w:val="20"/>
        </w:rPr>
        <w:t>元,较上年预算安排增加（减少）</w:t>
      </w:r>
      <w:r>
        <w:rPr>
          <w:spacing w:val="-102"/>
        </w:rPr>
        <w:t xml:space="preserve"> </w:t>
      </w:r>
      <w:r>
        <w:rPr>
          <w:spacing w:val="23"/>
          <w:u w:val="single" w:color="auto"/>
        </w:rPr>
        <w:t xml:space="preserve"> </w:t>
      </w:r>
      <w:r>
        <w:rPr>
          <w:rFonts w:hint="eastAsia"/>
          <w:spacing w:val="23"/>
          <w:u w:val="single" w:color="auto"/>
          <w:lang w:val="en-US" w:eastAsia="zh-CN"/>
        </w:rPr>
        <w:t>0</w:t>
      </w:r>
      <w:r>
        <w:rPr>
          <w:spacing w:val="23"/>
          <w:u w:val="single" w:color="auto"/>
        </w:rPr>
        <w:t xml:space="preserve"> </w:t>
      </w:r>
      <w:r>
        <w:rPr>
          <w:spacing w:val="-124"/>
        </w:rPr>
        <w:t xml:space="preserve"> </w:t>
      </w:r>
      <w:r>
        <w:rPr>
          <w:spacing w:val="20"/>
        </w:rPr>
        <w:t>万元；</w:t>
      </w:r>
      <w:r>
        <w:rPr>
          <w:spacing w:val="-91"/>
        </w:rPr>
        <w:t xml:space="preserve"> </w:t>
      </w:r>
      <w:r>
        <w:rPr>
          <w:spacing w:val="20"/>
        </w:rPr>
        <w:t>对企业补助</w:t>
      </w:r>
      <w:r>
        <w:rPr>
          <w:position w:val="-4"/>
        </w:rPr>
        <w:drawing>
          <wp:inline distT="0" distB="0" distL="0" distR="0">
            <wp:extent cx="1270" cy="88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1432" cy="9143"/>
                    </a:xfrm>
                    <a:prstGeom prst="rect">
                      <a:avLst/>
                    </a:prstGeom>
                  </pic:spPr>
                </pic:pic>
              </a:graphicData>
            </a:graphic>
          </wp:inline>
        </w:drawing>
      </w:r>
      <w:r>
        <w:rPr>
          <w:rFonts w:hint="eastAsia"/>
          <w:lang w:val="en-US" w:eastAsia="zh-CN"/>
        </w:rPr>
        <w:t>0</w:t>
      </w:r>
      <w:r>
        <w:rPr>
          <w:spacing w:val="12"/>
        </w:rPr>
        <w:t>万元,较上年预算安排增加（减少）</w:t>
      </w:r>
      <w:r>
        <w:rPr>
          <w:spacing w:val="-126"/>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2"/>
        </w:rPr>
        <w:t xml:space="preserve"> </w:t>
      </w:r>
      <w:r>
        <w:rPr>
          <w:spacing w:val="12"/>
        </w:rPr>
        <w:t>万元；对社会保险</w:t>
      </w:r>
      <w:r>
        <w:t xml:space="preserve"> </w:t>
      </w:r>
      <w:r>
        <w:rPr>
          <w:spacing w:val="2"/>
        </w:rPr>
        <w:t>基金补助</w:t>
      </w:r>
      <w:r>
        <w:rPr>
          <w:spacing w:val="-138"/>
        </w:rPr>
        <w:t xml:space="preserve"> </w:t>
      </w:r>
      <w:r>
        <w:rPr>
          <w:rFonts w:hint="eastAsia"/>
          <w:spacing w:val="2"/>
          <w:u w:val="single" w:color="auto"/>
          <w:lang w:val="en-US" w:eastAsia="zh-CN"/>
        </w:rPr>
        <w:t>0</w:t>
      </w:r>
      <w:r>
        <w:rPr>
          <w:spacing w:val="2"/>
          <w:u w:val="single" w:color="auto"/>
        </w:rPr>
        <w:t xml:space="preserve"> </w:t>
      </w:r>
      <w:r>
        <w:rPr>
          <w:spacing w:val="2"/>
        </w:rPr>
        <w:t>万元,较上年预算安排增加（减少）</w:t>
      </w:r>
      <w:r>
        <w:rPr>
          <w:spacing w:val="2"/>
          <w:u w:val="single" w:color="auto"/>
        </w:rPr>
        <w:t xml:space="preserve"> </w:t>
      </w:r>
      <w:r>
        <w:rPr>
          <w:rFonts w:hint="eastAsia"/>
          <w:spacing w:val="2"/>
          <w:u w:val="single" w:color="auto"/>
          <w:lang w:val="en-US" w:eastAsia="zh-CN"/>
        </w:rPr>
        <w:t>0</w:t>
      </w:r>
      <w:r>
        <w:rPr>
          <w:spacing w:val="2"/>
          <w:u w:val="single" w:color="auto"/>
        </w:rPr>
        <w:t xml:space="preserve"> </w:t>
      </w:r>
      <w:r>
        <w:rPr>
          <w:spacing w:val="-124"/>
        </w:rPr>
        <w:t xml:space="preserve"> </w:t>
      </w:r>
      <w:r>
        <w:rPr>
          <w:spacing w:val="2"/>
        </w:rPr>
        <w:t>万元；</w:t>
      </w:r>
      <w:r>
        <w:rPr>
          <w:spacing w:val="3"/>
        </w:rPr>
        <w:t>其他支出</w:t>
      </w:r>
      <w:r>
        <w:rPr>
          <w:spacing w:val="-151"/>
        </w:rPr>
        <w:t xml:space="preserve"> </w:t>
      </w:r>
      <w:r>
        <w:rPr>
          <w:spacing w:val="5"/>
          <w:u w:val="single" w:color="auto"/>
        </w:rPr>
        <w:t xml:space="preserve"> </w:t>
      </w:r>
      <w:r>
        <w:rPr>
          <w:rFonts w:hint="eastAsia"/>
          <w:spacing w:val="5"/>
          <w:u w:val="single" w:color="auto"/>
        </w:rPr>
        <w:t>15,818.00</w:t>
      </w:r>
      <w:r>
        <w:rPr>
          <w:spacing w:val="5"/>
          <w:u w:val="single" w:color="auto"/>
        </w:rPr>
        <w:t xml:space="preserve"> </w:t>
      </w:r>
      <w:r>
        <w:rPr>
          <w:spacing w:val="-124"/>
        </w:rPr>
        <w:t xml:space="preserve"> </w:t>
      </w:r>
      <w:r>
        <w:rPr>
          <w:spacing w:val="3"/>
        </w:rPr>
        <w:t>万元,较上年预算安排增加（减少）</w:t>
      </w:r>
      <w:r>
        <w:rPr>
          <w:rFonts w:hint="eastAsia"/>
          <w:spacing w:val="3"/>
          <w:u w:val="single"/>
        </w:rPr>
        <w:t>-22,682.00</w:t>
      </w:r>
      <w:r>
        <w:rPr>
          <w:rFonts w:hint="eastAsia"/>
          <w:spacing w:val="3"/>
        </w:rPr>
        <w:t xml:space="preserve"> </w:t>
      </w:r>
      <w:r>
        <w:rPr>
          <w:spacing w:val="-125"/>
        </w:rPr>
        <w:t xml:space="preserve"> </w:t>
      </w:r>
      <w:r>
        <w:rPr>
          <w:spacing w:val="3"/>
        </w:rPr>
        <w:t>万元。</w:t>
      </w:r>
    </w:p>
    <w:p>
      <w:pPr>
        <w:pStyle w:val="3"/>
        <w:spacing w:before="252" w:line="222" w:lineRule="auto"/>
        <w:ind w:left="573"/>
      </w:pPr>
      <w:r>
        <w:rPr>
          <w:b/>
          <w:bCs/>
          <w:spacing w:val="-1"/>
        </w:rPr>
        <w:t>(三)财政拨款支出情况</w:t>
      </w:r>
    </w:p>
    <w:p>
      <w:pPr>
        <w:pStyle w:val="3"/>
        <w:spacing w:before="249" w:line="372" w:lineRule="auto"/>
        <w:ind w:right="91" w:firstLine="664" w:firstLineChars="200"/>
        <w:jc w:val="left"/>
      </w:pPr>
      <w:r>
        <w:rPr>
          <w:rFonts w:hint="eastAsia"/>
          <w:spacing w:val="11"/>
          <w:lang w:eastAsia="zh-CN"/>
        </w:rPr>
        <w:t>2024年南昌市新建区城市管理和综合执法局</w:t>
      </w:r>
      <w:r>
        <w:rPr>
          <w:spacing w:val="11"/>
        </w:rPr>
        <w:t>财政拨款支出预算总额</w:t>
      </w:r>
      <w:r>
        <w:rPr>
          <w:spacing w:val="-145"/>
        </w:rPr>
        <w:t xml:space="preserve"> </w:t>
      </w:r>
      <w:r>
        <w:rPr>
          <w:spacing w:val="10"/>
          <w:u w:val="single" w:color="auto"/>
        </w:rPr>
        <w:t xml:space="preserve"> </w:t>
      </w:r>
      <w:r>
        <w:rPr>
          <w:rFonts w:hint="eastAsia"/>
          <w:spacing w:val="10"/>
          <w:u w:val="single" w:color="auto"/>
        </w:rPr>
        <w:t>31,222.17</w:t>
      </w:r>
      <w:r>
        <w:rPr>
          <w:spacing w:val="-123"/>
        </w:rPr>
        <w:t xml:space="preserve"> </w:t>
      </w:r>
      <w:r>
        <w:rPr>
          <w:spacing w:val="11"/>
        </w:rPr>
        <w:t>万元,较上年预</w:t>
      </w:r>
      <w:r>
        <w:rPr>
          <w:spacing w:val="5"/>
        </w:rPr>
        <w:t>算安排增加（减少）</w:t>
      </w:r>
      <w:r>
        <w:rPr>
          <w:spacing w:val="5"/>
          <w:u w:val="single" w:color="auto"/>
        </w:rPr>
        <w:t xml:space="preserve"> </w:t>
      </w:r>
      <w:r>
        <w:rPr>
          <w:rFonts w:hint="eastAsia"/>
          <w:spacing w:val="5"/>
          <w:u w:val="single" w:color="auto"/>
          <w:lang w:val="en-US" w:eastAsia="zh-CN"/>
        </w:rPr>
        <w:t>-</w:t>
      </w:r>
      <w:r>
        <w:rPr>
          <w:rFonts w:hint="eastAsia"/>
          <w:spacing w:val="5"/>
          <w:u w:val="single" w:color="auto"/>
        </w:rPr>
        <w:t>1509.59</w:t>
      </w:r>
      <w:r>
        <w:rPr>
          <w:spacing w:val="5"/>
          <w:u w:val="single" w:color="auto"/>
        </w:rPr>
        <w:t xml:space="preserve"> </w:t>
      </w:r>
      <w:r>
        <w:rPr>
          <w:spacing w:val="-125"/>
        </w:rPr>
        <w:t xml:space="preserve"> </w:t>
      </w:r>
      <w:r>
        <w:rPr>
          <w:spacing w:val="5"/>
        </w:rPr>
        <w:t>万元;</w:t>
      </w:r>
    </w:p>
    <w:p>
      <w:pPr>
        <w:pStyle w:val="3"/>
        <w:spacing w:before="100" w:line="372" w:lineRule="auto"/>
        <w:ind w:left="34" w:right="89" w:firstLine="9"/>
        <w:jc w:val="both"/>
      </w:pPr>
      <w:r>
        <w:rPr>
          <w:spacing w:val="7"/>
        </w:rPr>
        <w:t>按支出功能科目划分：</w:t>
      </w:r>
      <w:r>
        <w:rPr>
          <w:spacing w:val="14"/>
        </w:rPr>
        <w:t>社会保障和就业支出</w:t>
      </w:r>
      <w:r>
        <w:rPr>
          <w:spacing w:val="-134"/>
        </w:rPr>
        <w:t xml:space="preserve"> </w:t>
      </w:r>
      <w:r>
        <w:rPr>
          <w:spacing w:val="15"/>
          <w:u w:val="single" w:color="auto"/>
        </w:rPr>
        <w:t xml:space="preserve"> </w:t>
      </w:r>
      <w:r>
        <w:rPr>
          <w:rFonts w:hint="eastAsia"/>
          <w:spacing w:val="15"/>
          <w:u w:val="single" w:color="auto"/>
        </w:rPr>
        <w:t>421.71</w:t>
      </w:r>
      <w:r>
        <w:rPr>
          <w:spacing w:val="-123"/>
        </w:rPr>
        <w:t xml:space="preserve"> </w:t>
      </w:r>
      <w:r>
        <w:rPr>
          <w:spacing w:val="14"/>
        </w:rPr>
        <w:t>万元,卫生健康支出</w:t>
      </w:r>
      <w:r>
        <w:rPr>
          <w:spacing w:val="-145"/>
        </w:rPr>
        <w:t xml:space="preserve"> </w:t>
      </w:r>
      <w:r>
        <w:rPr>
          <w:spacing w:val="15"/>
          <w:u w:val="single" w:color="auto"/>
        </w:rPr>
        <w:t xml:space="preserve"> </w:t>
      </w:r>
      <w:r>
        <w:rPr>
          <w:rFonts w:hint="eastAsia"/>
          <w:spacing w:val="15"/>
          <w:u w:val="single" w:color="auto"/>
        </w:rPr>
        <w:t>367.83</w:t>
      </w:r>
      <w:r>
        <w:rPr>
          <w:spacing w:val="15"/>
          <w:u w:val="single" w:color="auto"/>
        </w:rPr>
        <w:t xml:space="preserve"> </w:t>
      </w:r>
      <w:r>
        <w:rPr>
          <w:spacing w:val="-124"/>
        </w:rPr>
        <w:t xml:space="preserve"> </w:t>
      </w:r>
      <w:r>
        <w:rPr>
          <w:spacing w:val="14"/>
        </w:rPr>
        <w:t>万</w:t>
      </w:r>
      <w:r>
        <w:t xml:space="preserve"> </w:t>
      </w:r>
      <w:r>
        <w:rPr>
          <w:spacing w:val="10"/>
        </w:rPr>
        <w:t>元,城乡社区支出</w:t>
      </w:r>
      <w:r>
        <w:rPr>
          <w:spacing w:val="-151"/>
        </w:rPr>
        <w:t xml:space="preserve"> </w:t>
      </w:r>
      <w:r>
        <w:rPr>
          <w:spacing w:val="10"/>
          <w:u w:val="single" w:color="auto"/>
        </w:rPr>
        <w:t xml:space="preserve"> </w:t>
      </w:r>
      <w:r>
        <w:rPr>
          <w:rFonts w:hint="eastAsia"/>
          <w:spacing w:val="10"/>
          <w:u w:val="single" w:color="auto"/>
        </w:rPr>
        <w:t>30,073.40</w:t>
      </w:r>
      <w:r>
        <w:rPr>
          <w:spacing w:val="10"/>
          <w:u w:val="single" w:color="auto"/>
        </w:rPr>
        <w:t xml:space="preserve"> </w:t>
      </w:r>
      <w:r>
        <w:rPr>
          <w:spacing w:val="-124"/>
        </w:rPr>
        <w:t xml:space="preserve"> </w:t>
      </w:r>
      <w:r>
        <w:rPr>
          <w:spacing w:val="10"/>
        </w:rPr>
        <w:t>万元,</w:t>
      </w:r>
      <w:r>
        <w:rPr>
          <w:spacing w:val="25"/>
        </w:rPr>
        <w:t>住房保障支出</w:t>
      </w:r>
      <w:r>
        <w:rPr>
          <w:rFonts w:hint="eastAsia"/>
          <w:spacing w:val="25"/>
          <w:lang w:val="en-US" w:eastAsia="zh-CN"/>
        </w:rPr>
        <w:t xml:space="preserve"> </w:t>
      </w:r>
      <w:r>
        <w:rPr>
          <w:rFonts w:hint="eastAsia"/>
          <w:u w:val="single"/>
        </w:rPr>
        <w:t>359.23</w:t>
      </w:r>
      <w:r>
        <w:rPr>
          <w:spacing w:val="17"/>
        </w:rPr>
        <w:t>万元</w:t>
      </w:r>
      <w:r>
        <w:rPr>
          <w:spacing w:val="-3"/>
        </w:rPr>
        <w:t>。</w:t>
      </w:r>
    </w:p>
    <w:p>
      <w:pPr>
        <w:pStyle w:val="3"/>
        <w:spacing w:before="246" w:line="372" w:lineRule="auto"/>
        <w:ind w:left="22" w:right="89" w:firstLine="645"/>
      </w:pPr>
      <w:r>
        <w:rPr>
          <w:spacing w:val="12"/>
        </w:rPr>
        <w:t>按支出项目类别划分：基本支出</w:t>
      </w:r>
      <w:r>
        <w:rPr>
          <w:spacing w:val="-132"/>
        </w:rPr>
        <w:t xml:space="preserve"> </w:t>
      </w:r>
      <w:r>
        <w:rPr>
          <w:spacing w:val="11"/>
          <w:u w:val="single" w:color="auto"/>
        </w:rPr>
        <w:t xml:space="preserve"> </w:t>
      </w:r>
      <w:r>
        <w:rPr>
          <w:rFonts w:hint="eastAsia"/>
          <w:spacing w:val="11"/>
          <w:u w:val="single" w:color="auto"/>
        </w:rPr>
        <w:t>4,620.67</w:t>
      </w:r>
      <w:r>
        <w:rPr>
          <w:spacing w:val="12"/>
        </w:rPr>
        <w:t>万元,较上年预算</w:t>
      </w:r>
      <w:r>
        <w:rPr>
          <w:spacing w:val="6"/>
        </w:rPr>
        <w:t>安排增加（减少）</w:t>
      </w:r>
      <w:r>
        <w:rPr>
          <w:rFonts w:hint="eastAsia"/>
          <w:spacing w:val="6"/>
          <w:u w:val="single" w:color="auto"/>
        </w:rPr>
        <w:t>794.28</w:t>
      </w:r>
      <w:r>
        <w:rPr>
          <w:spacing w:val="-125"/>
        </w:rPr>
        <w:t xml:space="preserve"> </w:t>
      </w:r>
      <w:r>
        <w:rPr>
          <w:spacing w:val="6"/>
        </w:rPr>
        <w:t>万元;其中：工</w:t>
      </w:r>
      <w:r>
        <w:rPr>
          <w:spacing w:val="5"/>
        </w:rPr>
        <w:t>资福利支出</w:t>
      </w:r>
      <w:r>
        <w:rPr>
          <w:rFonts w:hint="eastAsia"/>
          <w:spacing w:val="5"/>
          <w:u w:val="single" w:color="auto"/>
        </w:rPr>
        <w:t>4,127.92</w:t>
      </w:r>
      <w:r>
        <w:rPr>
          <w:spacing w:val="-124"/>
        </w:rPr>
        <w:t xml:space="preserve"> </w:t>
      </w:r>
      <w:r>
        <w:rPr>
          <w:spacing w:val="5"/>
        </w:rPr>
        <w:t>万元,</w:t>
      </w:r>
      <w:r>
        <w:t xml:space="preserve"> </w:t>
      </w:r>
      <w:r>
        <w:rPr>
          <w:spacing w:val="11"/>
        </w:rPr>
        <w:t>商品和服务支出</w:t>
      </w:r>
      <w:r>
        <w:rPr>
          <w:rFonts w:hint="eastAsia"/>
          <w:spacing w:val="10"/>
          <w:u w:val="single" w:color="auto"/>
        </w:rPr>
        <w:t>481.57</w:t>
      </w:r>
      <w:r>
        <w:rPr>
          <w:spacing w:val="-124"/>
        </w:rPr>
        <w:t xml:space="preserve"> </w:t>
      </w:r>
      <w:r>
        <w:rPr>
          <w:spacing w:val="11"/>
        </w:rPr>
        <w:t>万元,对个人和家庭的补助</w:t>
      </w:r>
      <w:r>
        <w:rPr>
          <w:spacing w:val="-148"/>
        </w:rPr>
        <w:t xml:space="preserve"> </w:t>
      </w:r>
      <w:r>
        <w:rPr>
          <w:rFonts w:hint="eastAsia"/>
          <w:spacing w:val="10"/>
          <w:u w:val="single" w:color="auto"/>
        </w:rPr>
        <w:t>11.19</w:t>
      </w:r>
      <w:r>
        <w:rPr>
          <w:spacing w:val="10"/>
        </w:rPr>
        <w:t>万元，</w:t>
      </w:r>
      <w:r>
        <w:rPr>
          <w:spacing w:val="11"/>
        </w:rPr>
        <w:t>资本性支出</w:t>
      </w:r>
      <w:r>
        <w:rPr>
          <w:spacing w:val="-151"/>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4"/>
        </w:rPr>
        <w:t xml:space="preserve"> </w:t>
      </w:r>
      <w:r>
        <w:rPr>
          <w:spacing w:val="11"/>
        </w:rPr>
        <w:t>万元。项目支出</w:t>
      </w:r>
      <w:r>
        <w:rPr>
          <w:rFonts w:hint="eastAsia"/>
          <w:spacing w:val="10"/>
          <w:u w:val="single" w:color="auto"/>
        </w:rPr>
        <w:t>26,601.50</w:t>
      </w:r>
      <w:r>
        <w:rPr>
          <w:spacing w:val="10"/>
          <w:u w:val="single" w:color="auto"/>
        </w:rPr>
        <w:t xml:space="preserve"> </w:t>
      </w:r>
      <w:r>
        <w:rPr>
          <w:spacing w:val="-125"/>
        </w:rPr>
        <w:t xml:space="preserve"> </w:t>
      </w:r>
      <w:r>
        <w:rPr>
          <w:spacing w:val="11"/>
        </w:rPr>
        <w:t>万元,较上年预</w:t>
      </w:r>
      <w:r>
        <w:rPr>
          <w:spacing w:val="10"/>
        </w:rPr>
        <w:t>算安排</w:t>
      </w:r>
      <w:r>
        <w:t xml:space="preserve"> </w:t>
      </w:r>
      <w:r>
        <w:rPr>
          <w:spacing w:val="5"/>
        </w:rPr>
        <w:t>增加（减少）</w:t>
      </w:r>
      <w:r>
        <w:rPr>
          <w:rFonts w:hint="eastAsia"/>
          <w:spacing w:val="5"/>
          <w:u w:val="single" w:color="auto"/>
        </w:rPr>
        <w:t xml:space="preserve">-2,303.87 </w:t>
      </w:r>
      <w:r>
        <w:rPr>
          <w:spacing w:val="-107"/>
        </w:rPr>
        <w:t xml:space="preserve"> </w:t>
      </w:r>
      <w:r>
        <w:rPr>
          <w:spacing w:val="5"/>
        </w:rPr>
        <w:t>万元;其中：工资福利支出</w:t>
      </w:r>
      <w:r>
        <w:rPr>
          <w:spacing w:val="5"/>
          <w:u w:val="single" w:color="auto"/>
        </w:rPr>
        <w:t xml:space="preserve"> </w:t>
      </w:r>
      <w:r>
        <w:rPr>
          <w:rFonts w:hint="eastAsia"/>
          <w:spacing w:val="5"/>
          <w:u w:val="single" w:color="auto"/>
        </w:rPr>
        <w:t>5,500.81</w:t>
      </w:r>
      <w:r>
        <w:rPr>
          <w:spacing w:val="5"/>
          <w:u w:val="single" w:color="auto"/>
        </w:rPr>
        <w:t xml:space="preserve"> </w:t>
      </w:r>
      <w:r>
        <w:rPr>
          <w:spacing w:val="-124"/>
        </w:rPr>
        <w:t xml:space="preserve"> </w:t>
      </w:r>
      <w:r>
        <w:rPr>
          <w:spacing w:val="5"/>
        </w:rPr>
        <w:t>万元,商品</w:t>
      </w:r>
      <w:r>
        <w:t xml:space="preserve"> </w:t>
      </w:r>
      <w:r>
        <w:rPr>
          <w:spacing w:val="15"/>
        </w:rPr>
        <w:t>和服务支出</w:t>
      </w:r>
      <w:r>
        <w:rPr>
          <w:spacing w:val="-135"/>
        </w:rPr>
        <w:t xml:space="preserve"> </w:t>
      </w:r>
      <w:r>
        <w:rPr>
          <w:rFonts w:hint="eastAsia"/>
          <w:spacing w:val="15"/>
          <w:u w:val="single" w:color="auto"/>
        </w:rPr>
        <w:t>20,579.19</w:t>
      </w:r>
      <w:r>
        <w:rPr>
          <w:spacing w:val="-123"/>
        </w:rPr>
        <w:t xml:space="preserve"> </w:t>
      </w:r>
      <w:r>
        <w:rPr>
          <w:spacing w:val="15"/>
        </w:rPr>
        <w:t>万元,对个人和家庭的补助</w:t>
      </w:r>
      <w:r>
        <w:rPr>
          <w:spacing w:val="-143"/>
        </w:rPr>
        <w:t xml:space="preserve"> </w:t>
      </w:r>
      <w:r>
        <w:rPr>
          <w:spacing w:val="15"/>
          <w:u w:val="single" w:color="auto"/>
        </w:rPr>
        <w:t xml:space="preserve"> </w:t>
      </w:r>
      <w:r>
        <w:rPr>
          <w:rFonts w:hint="eastAsia"/>
          <w:spacing w:val="15"/>
          <w:u w:val="single" w:color="auto"/>
          <w:lang w:val="en-US" w:eastAsia="zh-CN"/>
        </w:rPr>
        <w:t>0</w:t>
      </w:r>
      <w:r>
        <w:rPr>
          <w:spacing w:val="15"/>
          <w:u w:val="single" w:color="auto"/>
        </w:rPr>
        <w:t xml:space="preserve"> </w:t>
      </w:r>
      <w:r>
        <w:rPr>
          <w:spacing w:val="-123"/>
        </w:rPr>
        <w:t xml:space="preserve"> </w:t>
      </w:r>
      <w:r>
        <w:rPr>
          <w:spacing w:val="15"/>
        </w:rPr>
        <w:t>万元,债务</w:t>
      </w:r>
      <w:r>
        <w:t xml:space="preserve"> </w:t>
      </w:r>
      <w:r>
        <w:rPr>
          <w:spacing w:val="6"/>
        </w:rPr>
        <w:t>利息及费用支出</w:t>
      </w:r>
      <w:r>
        <w:rPr>
          <w:spacing w:val="-155"/>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5"/>
        </w:rPr>
        <w:t xml:space="preserve"> </w:t>
      </w:r>
      <w:r>
        <w:rPr>
          <w:spacing w:val="6"/>
        </w:rPr>
        <w:t>万元，资本性支出（基本建设）</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w:t>
      </w:r>
      <w:r>
        <w:t xml:space="preserve"> </w:t>
      </w:r>
      <w:r>
        <w:rPr>
          <w:spacing w:val="11"/>
        </w:rPr>
        <w:t>元,资本性支出</w:t>
      </w:r>
      <w:r>
        <w:rPr>
          <w:spacing w:val="-151"/>
        </w:rPr>
        <w:t xml:space="preserve"> </w:t>
      </w:r>
      <w:r>
        <w:rPr>
          <w:spacing w:val="10"/>
          <w:u w:val="single" w:color="auto"/>
        </w:rPr>
        <w:t xml:space="preserve"> </w:t>
      </w:r>
      <w:r>
        <w:rPr>
          <w:rFonts w:hint="eastAsia"/>
          <w:spacing w:val="10"/>
          <w:u w:val="single" w:color="auto"/>
        </w:rPr>
        <w:t>53.50</w:t>
      </w:r>
      <w:r>
        <w:rPr>
          <w:spacing w:val="10"/>
          <w:u w:val="single" w:color="auto"/>
        </w:rPr>
        <w:t xml:space="preserve"> </w:t>
      </w:r>
      <w:r>
        <w:rPr>
          <w:spacing w:val="-124"/>
        </w:rPr>
        <w:t xml:space="preserve"> </w:t>
      </w:r>
      <w:r>
        <w:rPr>
          <w:spacing w:val="11"/>
        </w:rPr>
        <w:t>万元，对企业补助</w:t>
      </w:r>
      <w:r>
        <w:rPr>
          <w:spacing w:val="-148"/>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5"/>
        </w:rPr>
        <w:t xml:space="preserve"> </w:t>
      </w:r>
      <w:r>
        <w:rPr>
          <w:spacing w:val="11"/>
        </w:rPr>
        <w:t>万元，其</w:t>
      </w:r>
      <w:r>
        <w:rPr>
          <w:spacing w:val="10"/>
        </w:rPr>
        <w:t>他支出</w:t>
      </w:r>
      <w:r>
        <w:rPr>
          <w:rFonts w:hint="eastAsia"/>
          <w:spacing w:val="10"/>
          <w:u w:val="single"/>
        </w:rPr>
        <w:t>468.00</w:t>
      </w:r>
      <w:r>
        <w:rPr>
          <w:spacing w:val="-4"/>
        </w:rPr>
        <w:t>万元。</w:t>
      </w:r>
    </w:p>
    <w:p>
      <w:pPr>
        <w:pStyle w:val="3"/>
        <w:spacing w:before="244" w:line="220" w:lineRule="auto"/>
        <w:ind w:left="734"/>
      </w:pPr>
      <w:r>
        <w:rPr>
          <w:b/>
          <w:bCs/>
          <w:spacing w:val="-2"/>
        </w:rPr>
        <w:t>(四)政府性基金情况</w:t>
      </w:r>
    </w:p>
    <w:p>
      <w:pPr>
        <w:pStyle w:val="3"/>
        <w:spacing w:before="253" w:line="372" w:lineRule="auto"/>
        <w:ind w:right="91"/>
        <w:jc w:val="left"/>
      </w:pPr>
      <w:r>
        <w:rPr>
          <w:rFonts w:hint="eastAsia"/>
          <w:spacing w:val="6"/>
          <w:lang w:eastAsia="zh-CN"/>
        </w:rPr>
        <w:t>2024年南昌市新建区城市管理和综合执法局</w:t>
      </w:r>
      <w:r>
        <w:rPr>
          <w:spacing w:val="6"/>
        </w:rPr>
        <w:t>政府性基金收入预算为</w:t>
      </w:r>
      <w:r>
        <w:rPr>
          <w:rFonts w:hint="eastAsia"/>
          <w:spacing w:val="6"/>
          <w:u w:val="single" w:color="auto"/>
          <w:lang w:val="en-US" w:eastAsia="zh-CN"/>
        </w:rPr>
        <w:t>0</w:t>
      </w:r>
      <w:r>
        <w:rPr>
          <w:spacing w:val="-125"/>
        </w:rPr>
        <w:t xml:space="preserve"> </w:t>
      </w:r>
      <w:r>
        <w:rPr>
          <w:spacing w:val="5"/>
        </w:rPr>
        <w:t>万元，支出预算</w:t>
      </w:r>
      <w:r>
        <w:rPr>
          <w:spacing w:val="-8"/>
        </w:rPr>
        <w:t>为</w:t>
      </w:r>
      <w:r>
        <w:rPr>
          <w:spacing w:val="-139"/>
        </w:rPr>
        <w:t xml:space="preserve"> </w:t>
      </w:r>
      <w:r>
        <w:rPr>
          <w:rFonts w:hint="eastAsia"/>
          <w:spacing w:val="5"/>
          <w:u w:val="single" w:color="auto"/>
          <w:lang w:val="en-US" w:eastAsia="zh-CN"/>
        </w:rPr>
        <w:t>0</w:t>
      </w:r>
      <w:r>
        <w:rPr>
          <w:spacing w:val="-124"/>
        </w:rPr>
        <w:t xml:space="preserve"> </w:t>
      </w:r>
      <w:r>
        <w:rPr>
          <w:spacing w:val="-8"/>
        </w:rPr>
        <w:t>万元，其中：基本支出</w:t>
      </w:r>
      <w:r>
        <w:rPr>
          <w:spacing w:val="-154"/>
        </w:rPr>
        <w:t xml:space="preserve"> </w:t>
      </w:r>
      <w:r>
        <w:rPr>
          <w:rFonts w:hint="eastAsia"/>
          <w:spacing w:val="5"/>
          <w:u w:val="single" w:color="auto"/>
          <w:lang w:val="en-US" w:eastAsia="zh-CN"/>
        </w:rPr>
        <w:t>0</w:t>
      </w:r>
      <w:r>
        <w:rPr>
          <w:spacing w:val="-125"/>
        </w:rPr>
        <w:t xml:space="preserve"> </w:t>
      </w:r>
      <w:r>
        <w:rPr>
          <w:spacing w:val="-8"/>
        </w:rPr>
        <w:t>万元，项目支出</w:t>
      </w:r>
      <w:r>
        <w:rPr>
          <w:spacing w:val="-152"/>
        </w:rPr>
        <w:t xml:space="preserve"> </w:t>
      </w:r>
      <w:r>
        <w:rPr>
          <w:rFonts w:hint="eastAsia"/>
          <w:spacing w:val="4"/>
          <w:u w:val="single" w:color="auto"/>
          <w:lang w:val="en-US" w:eastAsia="zh-CN"/>
        </w:rPr>
        <w:t>0</w:t>
      </w:r>
      <w:r>
        <w:rPr>
          <w:spacing w:val="-122"/>
        </w:rPr>
        <w:t xml:space="preserve"> </w:t>
      </w:r>
      <w:r>
        <w:rPr>
          <w:spacing w:val="-8"/>
        </w:rPr>
        <w:t>万元。</w:t>
      </w:r>
    </w:p>
    <w:p>
      <w:pPr>
        <w:pStyle w:val="3"/>
        <w:spacing w:before="251" w:line="624" w:lineRule="exact"/>
        <w:ind w:right="89"/>
        <w:jc w:val="left"/>
      </w:pPr>
      <w:r>
        <w:rPr>
          <w:spacing w:val="9"/>
          <w:position w:val="23"/>
        </w:rPr>
        <w:t>(如两年度预算均无相应支出，则说明</w:t>
      </w:r>
      <w:r>
        <w:rPr>
          <w:spacing w:val="-95"/>
          <w:position w:val="23"/>
        </w:rPr>
        <w:t xml:space="preserve"> </w:t>
      </w:r>
      <w:r>
        <w:rPr>
          <w:b/>
          <w:bCs/>
          <w:spacing w:val="9"/>
          <w:position w:val="23"/>
        </w:rPr>
        <w:t>“本部门没有使</w:t>
      </w:r>
    </w:p>
    <w:p>
      <w:pPr>
        <w:pStyle w:val="3"/>
        <w:spacing w:line="220" w:lineRule="auto"/>
        <w:ind w:left="26"/>
        <w:jc w:val="left"/>
      </w:pPr>
      <w:r>
        <w:rPr>
          <w:b/>
          <w:bCs/>
          <w:spacing w:val="7"/>
        </w:rPr>
        <w:t>用政府性基金预算拨款安排的支出”</w:t>
      </w:r>
      <w:r>
        <w:rPr>
          <w:spacing w:val="7"/>
        </w:rPr>
        <w:t>)</w:t>
      </w:r>
    </w:p>
    <w:p>
      <w:pPr>
        <w:pStyle w:val="3"/>
        <w:spacing w:before="255" w:line="222" w:lineRule="auto"/>
        <w:ind w:left="734"/>
      </w:pPr>
      <w:r>
        <w:rPr>
          <w:b/>
          <w:bCs/>
          <w:spacing w:val="-1"/>
        </w:rPr>
        <w:t>(五)国有资本经营情况</w:t>
      </w:r>
    </w:p>
    <w:p>
      <w:pPr>
        <w:spacing w:line="222" w:lineRule="auto"/>
        <w:sectPr>
          <w:pgSz w:w="11906" w:h="16839"/>
          <w:pgMar w:top="400" w:right="1710" w:bottom="400" w:left="1785" w:header="0" w:footer="0"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3"/>
        <w:spacing w:before="101" w:line="372" w:lineRule="auto"/>
        <w:ind w:left="36" w:right="13" w:firstLine="648"/>
      </w:pPr>
      <w:r>
        <w:rPr>
          <w:rFonts w:hint="eastAsia"/>
          <w:spacing w:val="6"/>
          <w:lang w:eastAsia="zh-CN"/>
        </w:rPr>
        <w:t>2024年南昌市新建区城市管理和综合执法局</w:t>
      </w:r>
      <w:r>
        <w:rPr>
          <w:spacing w:val="6"/>
        </w:rPr>
        <w:t>国有资本经营收入预算为</w:t>
      </w:r>
      <w:r>
        <w:rPr>
          <w:spacing w:val="-152"/>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6"/>
        </w:rPr>
        <w:t>万元</w:t>
      </w:r>
      <w:r>
        <w:rPr>
          <w:spacing w:val="5"/>
        </w:rPr>
        <w:t>，支出预</w:t>
      </w:r>
      <w:r>
        <w:t xml:space="preserve"> </w:t>
      </w:r>
      <w:r>
        <w:rPr>
          <w:spacing w:val="3"/>
        </w:rPr>
        <w:t>算为</w:t>
      </w:r>
      <w:r>
        <w:rPr>
          <w:spacing w:val="-146"/>
        </w:rPr>
        <w:t xml:space="preserve"> </w:t>
      </w:r>
      <w:r>
        <w:rPr>
          <w:rFonts w:hint="eastAsia"/>
          <w:spacing w:val="4"/>
          <w:u w:val="single" w:color="auto"/>
          <w:lang w:val="en-US" w:eastAsia="zh-CN"/>
        </w:rPr>
        <w:t>0</w:t>
      </w:r>
      <w:r>
        <w:rPr>
          <w:spacing w:val="-122"/>
        </w:rPr>
        <w:t xml:space="preserve"> </w:t>
      </w:r>
      <w:r>
        <w:rPr>
          <w:spacing w:val="3"/>
        </w:rPr>
        <w:t>万元，其中：基本支出</w:t>
      </w:r>
      <w:r>
        <w:rPr>
          <w:spacing w:val="-155"/>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3"/>
        </w:rPr>
        <w:t>万元，项目支出</w:t>
      </w:r>
      <w:r>
        <w:rPr>
          <w:spacing w:val="-153"/>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3"/>
        </w:rPr>
        <w:t>万</w:t>
      </w:r>
      <w:r>
        <w:rPr>
          <w:spacing w:val="-8"/>
        </w:rPr>
        <w:t>元。</w:t>
      </w:r>
    </w:p>
    <w:p>
      <w:pPr>
        <w:pStyle w:val="3"/>
        <w:spacing w:before="243" w:line="624" w:lineRule="exact"/>
        <w:ind w:right="13"/>
        <w:jc w:val="right"/>
      </w:pPr>
      <w:r>
        <w:rPr>
          <w:spacing w:val="9"/>
          <w:position w:val="23"/>
        </w:rPr>
        <w:t>(如两年度预算均无相应支出，则说明</w:t>
      </w:r>
      <w:r>
        <w:rPr>
          <w:spacing w:val="-95"/>
          <w:position w:val="23"/>
        </w:rPr>
        <w:t xml:space="preserve"> </w:t>
      </w:r>
      <w:r>
        <w:rPr>
          <w:b/>
          <w:bCs/>
          <w:spacing w:val="9"/>
          <w:position w:val="23"/>
        </w:rPr>
        <w:t>“本部门没有使</w:t>
      </w:r>
    </w:p>
    <w:p>
      <w:pPr>
        <w:pStyle w:val="3"/>
        <w:spacing w:before="1" w:line="221" w:lineRule="auto"/>
        <w:ind w:left="26"/>
      </w:pPr>
      <w:r>
        <w:rPr>
          <w:b/>
          <w:bCs/>
          <w:spacing w:val="7"/>
        </w:rPr>
        <w:t>用国有资本经营预算拨款安排的支出”</w:t>
      </w:r>
      <w:r>
        <w:rPr>
          <w:spacing w:val="7"/>
        </w:rPr>
        <w:t>)</w:t>
      </w:r>
    </w:p>
    <w:p>
      <w:pPr>
        <w:pStyle w:val="3"/>
        <w:spacing w:before="251" w:line="221" w:lineRule="auto"/>
        <w:ind w:left="734"/>
      </w:pPr>
      <w:r>
        <w:rPr>
          <w:b/>
          <w:bCs/>
          <w:spacing w:val="2"/>
        </w:rPr>
        <w:t>(六)机关运行经费等重要事项的说明</w:t>
      </w:r>
    </w:p>
    <w:p>
      <w:pPr>
        <w:pStyle w:val="3"/>
        <w:spacing w:before="288" w:line="346" w:lineRule="auto"/>
        <w:ind w:left="36" w:right="16" w:firstLine="643"/>
      </w:pPr>
      <w:r>
        <w:rPr>
          <w:rFonts w:hint="eastAsia"/>
          <w:spacing w:val="3"/>
          <w:lang w:eastAsia="zh-CN"/>
        </w:rPr>
        <w:t>2024年</w:t>
      </w:r>
      <w:r>
        <w:rPr>
          <w:spacing w:val="3"/>
        </w:rPr>
        <w:t>部门机关运行费预算</w:t>
      </w:r>
      <w:r>
        <w:rPr>
          <w:rFonts w:hint="eastAsia"/>
          <w:spacing w:val="3"/>
          <w:u w:val="single" w:color="auto"/>
        </w:rPr>
        <w:t xml:space="preserve">25.30 </w:t>
      </w:r>
      <w:r>
        <w:rPr>
          <w:spacing w:val="-113"/>
        </w:rPr>
        <w:t xml:space="preserve"> </w:t>
      </w:r>
      <w:r>
        <w:rPr>
          <w:spacing w:val="3"/>
        </w:rPr>
        <w:t>万元，</w:t>
      </w:r>
      <w:r>
        <w:rPr>
          <w:spacing w:val="-85"/>
        </w:rPr>
        <w:t xml:space="preserve"> </w:t>
      </w:r>
      <w:r>
        <w:rPr>
          <w:spacing w:val="3"/>
        </w:rPr>
        <w:t>比</w:t>
      </w:r>
      <w:r>
        <w:rPr>
          <w:rFonts w:hint="eastAsia"/>
          <w:spacing w:val="3"/>
          <w:lang w:eastAsia="zh-CN"/>
        </w:rPr>
        <w:t>202</w:t>
      </w:r>
      <w:r>
        <w:rPr>
          <w:rFonts w:hint="eastAsia"/>
          <w:spacing w:val="3"/>
          <w:lang w:val="en-US" w:eastAsia="zh-CN"/>
        </w:rPr>
        <w:t>3</w:t>
      </w:r>
      <w:r>
        <w:rPr>
          <w:rFonts w:hint="eastAsia"/>
          <w:spacing w:val="3"/>
          <w:lang w:eastAsia="zh-CN"/>
        </w:rPr>
        <w:t>年</w:t>
      </w:r>
      <w:r>
        <w:rPr>
          <w:spacing w:val="3"/>
        </w:rPr>
        <w:t>（上年）预</w:t>
      </w:r>
      <w:r>
        <w:rPr>
          <w:spacing w:val="6"/>
        </w:rPr>
        <w:t>算增加（减少）</w:t>
      </w:r>
      <w:r>
        <w:rPr>
          <w:rFonts w:hint="eastAsia"/>
          <w:spacing w:val="6"/>
          <w:lang w:val="en-US" w:eastAsia="zh-CN"/>
        </w:rPr>
        <w:t xml:space="preserve"> </w:t>
      </w:r>
      <w:r>
        <w:rPr>
          <w:spacing w:val="6"/>
          <w:u w:val="single" w:color="auto"/>
        </w:rPr>
        <w:t xml:space="preserve"> </w:t>
      </w:r>
      <w:r>
        <w:rPr>
          <w:rFonts w:hint="eastAsia"/>
          <w:spacing w:val="6"/>
          <w:u w:val="single" w:color="auto"/>
          <w:lang w:val="en-US" w:eastAsia="zh-CN"/>
        </w:rPr>
        <w:t xml:space="preserve">-32.93 </w:t>
      </w:r>
      <w:r>
        <w:rPr>
          <w:spacing w:val="6"/>
          <w:u w:val="single" w:color="auto"/>
        </w:rPr>
        <w:t xml:space="preserve"> </w:t>
      </w:r>
      <w:r>
        <w:rPr>
          <w:spacing w:val="-120"/>
        </w:rPr>
        <w:t xml:space="preserve"> </w:t>
      </w:r>
      <w:r>
        <w:rPr>
          <w:spacing w:val="6"/>
        </w:rPr>
        <w:t>万元，</w:t>
      </w:r>
      <w:r>
        <w:rPr>
          <w:rFonts w:hint="eastAsia"/>
          <w:spacing w:val="6"/>
          <w:lang w:val="en-US" w:eastAsia="zh-CN"/>
        </w:rPr>
        <w:t xml:space="preserve"> </w:t>
      </w:r>
      <w:r>
        <w:rPr>
          <w:spacing w:val="6"/>
        </w:rPr>
        <w:t>增长（下降）</w:t>
      </w:r>
      <w:r>
        <w:rPr>
          <w:rFonts w:hint="eastAsia"/>
          <w:spacing w:val="6"/>
          <w:u w:val="single" w:color="auto"/>
          <w:lang w:val="en-US" w:eastAsia="zh-CN"/>
        </w:rPr>
        <w:t>-56.55</w:t>
      </w:r>
      <w:r>
        <w:rPr>
          <w:spacing w:val="6"/>
          <w:u w:val="single" w:color="auto"/>
        </w:rPr>
        <w:t xml:space="preserve"> </w:t>
      </w:r>
      <w:r>
        <w:rPr>
          <w:spacing w:val="-141"/>
        </w:rPr>
        <w:t xml:space="preserve"> </w:t>
      </w:r>
      <w:r>
        <w:rPr>
          <w:spacing w:val="6"/>
        </w:rPr>
        <w:t>%，主要原因</w:t>
      </w:r>
      <w:r>
        <w:t>是</w:t>
      </w:r>
      <w:r>
        <w:rPr>
          <w:spacing w:val="-155"/>
        </w:rPr>
        <w:t xml:space="preserve"> </w:t>
      </w:r>
      <w:r>
        <w:rPr>
          <w:spacing w:val="5"/>
          <w:u w:val="single" w:color="auto"/>
        </w:rPr>
        <w:t xml:space="preserve"> </w:t>
      </w:r>
      <w:r>
        <w:rPr>
          <w:rFonts w:hint="eastAsia"/>
          <w:spacing w:val="5"/>
          <w:u w:val="single" w:color="auto"/>
          <w:lang w:val="en-US" w:eastAsia="zh-CN"/>
        </w:rPr>
        <w:t>缩减运行经费支出</w:t>
      </w:r>
      <w:r>
        <w:rPr>
          <w:spacing w:val="5"/>
          <w:u w:val="single" w:color="auto"/>
        </w:rPr>
        <w:t xml:space="preserve"> </w:t>
      </w:r>
      <w:r>
        <w:t>。</w:t>
      </w:r>
    </w:p>
    <w:p>
      <w:pPr>
        <w:pStyle w:val="3"/>
        <w:spacing w:before="201" w:line="581" w:lineRule="exact"/>
        <w:ind w:right="18"/>
        <w:jc w:val="right"/>
      </w:pPr>
      <w:r>
        <w:rPr>
          <w:spacing w:val="6"/>
          <w:position w:val="20"/>
        </w:rPr>
        <w:t>（如两年度预算均无相应支出，则说明</w:t>
      </w:r>
      <w:r>
        <w:rPr>
          <w:spacing w:val="-99"/>
          <w:position w:val="20"/>
        </w:rPr>
        <w:t xml:space="preserve"> </w:t>
      </w:r>
      <w:r>
        <w:rPr>
          <w:spacing w:val="6"/>
          <w:position w:val="20"/>
        </w:rPr>
        <w:t>“</w:t>
      </w:r>
      <w:r>
        <w:rPr>
          <w:b/>
          <w:bCs/>
          <w:spacing w:val="6"/>
          <w:position w:val="20"/>
        </w:rPr>
        <w:t>本部门无行政</w:t>
      </w:r>
    </w:p>
    <w:p>
      <w:pPr>
        <w:pStyle w:val="3"/>
        <w:spacing w:line="221" w:lineRule="auto"/>
        <w:ind w:left="32"/>
      </w:pPr>
      <w:r>
        <w:rPr>
          <w:b/>
          <w:bCs/>
          <w:spacing w:val="6"/>
        </w:rPr>
        <w:t>参公单位，无机关运行经费</w:t>
      </w:r>
      <w:r>
        <w:rPr>
          <w:spacing w:val="6"/>
        </w:rPr>
        <w:t>”）</w:t>
      </w:r>
    </w:p>
    <w:p>
      <w:pPr>
        <w:pStyle w:val="3"/>
        <w:spacing w:before="172" w:line="222" w:lineRule="auto"/>
        <w:ind w:left="734"/>
      </w:pPr>
      <w:r>
        <w:rPr>
          <w:b/>
          <w:bCs/>
          <w:spacing w:val="-5"/>
        </w:rPr>
        <w:t>(七)</w:t>
      </w:r>
      <w:r>
        <w:rPr>
          <w:spacing w:val="54"/>
        </w:rPr>
        <w:t xml:space="preserve">  </w:t>
      </w:r>
      <w:r>
        <w:rPr>
          <w:b/>
          <w:bCs/>
          <w:spacing w:val="-5"/>
        </w:rPr>
        <w:t>政府采购情况</w:t>
      </w:r>
    </w:p>
    <w:p>
      <w:pPr>
        <w:pStyle w:val="3"/>
        <w:spacing w:before="249" w:line="372" w:lineRule="auto"/>
        <w:ind w:left="29" w:right="15" w:firstLine="655"/>
      </w:pPr>
      <w:r>
        <w:rPr>
          <w:rFonts w:hint="eastAsia"/>
          <w:spacing w:val="11"/>
          <w:lang w:eastAsia="zh-CN"/>
        </w:rPr>
        <w:t>2024年</w:t>
      </w:r>
      <w:r>
        <w:rPr>
          <w:spacing w:val="11"/>
        </w:rPr>
        <w:t>部门所属各单位政府采购总额</w:t>
      </w:r>
      <w:r>
        <w:rPr>
          <w:spacing w:val="-145"/>
        </w:rPr>
        <w:t xml:space="preserve"> </w:t>
      </w:r>
      <w:r>
        <w:rPr>
          <w:rFonts w:hint="eastAsia"/>
          <w:spacing w:val="10"/>
          <w:u w:val="single" w:color="auto"/>
        </w:rPr>
        <w:t>5,545.77</w:t>
      </w:r>
      <w:r>
        <w:rPr>
          <w:spacing w:val="-122"/>
        </w:rPr>
        <w:t xml:space="preserve"> </w:t>
      </w:r>
      <w:r>
        <w:rPr>
          <w:spacing w:val="11"/>
        </w:rPr>
        <w:t>万元,其中: 政</w:t>
      </w:r>
      <w:r>
        <w:rPr>
          <w:spacing w:val="19"/>
        </w:rPr>
        <w:t>府采购货物预算</w:t>
      </w:r>
      <w:r>
        <w:rPr>
          <w:spacing w:val="-128"/>
        </w:rPr>
        <w:t xml:space="preserve"> </w:t>
      </w:r>
      <w:r>
        <w:rPr>
          <w:spacing w:val="21"/>
          <w:u w:val="single" w:color="auto"/>
        </w:rPr>
        <w:t xml:space="preserve"> </w:t>
      </w:r>
      <w:r>
        <w:rPr>
          <w:rFonts w:hint="eastAsia"/>
          <w:spacing w:val="21"/>
          <w:u w:val="single" w:color="auto"/>
        </w:rPr>
        <w:t xml:space="preserve">3,295.77 </w:t>
      </w:r>
      <w:r>
        <w:rPr>
          <w:spacing w:val="21"/>
          <w:u w:val="single" w:color="auto"/>
        </w:rPr>
        <w:t xml:space="preserve"> </w:t>
      </w:r>
      <w:r>
        <w:rPr>
          <w:spacing w:val="-123"/>
        </w:rPr>
        <w:t xml:space="preserve"> </w:t>
      </w:r>
      <w:r>
        <w:rPr>
          <w:spacing w:val="19"/>
        </w:rPr>
        <w:t>万元, 政府采购工程预算</w:t>
      </w:r>
      <w:r>
        <w:rPr>
          <w:spacing w:val="-139"/>
        </w:rPr>
        <w:t xml:space="preserve"> </w:t>
      </w:r>
      <w:r>
        <w:rPr>
          <w:rFonts w:hint="eastAsia"/>
          <w:spacing w:val="21"/>
          <w:u w:val="single" w:color="auto"/>
          <w:lang w:val="en-US" w:eastAsia="zh-CN"/>
        </w:rPr>
        <w:t>0</w:t>
      </w:r>
      <w:r>
        <w:rPr>
          <w:spacing w:val="21"/>
          <w:u w:val="single" w:color="auto"/>
        </w:rPr>
        <w:t xml:space="preserve">   </w:t>
      </w:r>
      <w:r>
        <w:rPr>
          <w:spacing w:val="-122"/>
        </w:rPr>
        <w:t xml:space="preserve"> </w:t>
      </w:r>
      <w:r>
        <w:rPr>
          <w:spacing w:val="19"/>
        </w:rPr>
        <w:t>万元,</w:t>
      </w:r>
      <w:r>
        <w:rPr>
          <w:spacing w:val="4"/>
        </w:rPr>
        <w:t>政府采购服务预算</w:t>
      </w:r>
      <w:r>
        <w:rPr>
          <w:spacing w:val="-151"/>
        </w:rPr>
        <w:t xml:space="preserve"> </w:t>
      </w:r>
      <w:r>
        <w:rPr>
          <w:spacing w:val="4"/>
          <w:u w:val="single" w:color="auto"/>
        </w:rPr>
        <w:t xml:space="preserve"> </w:t>
      </w:r>
      <w:r>
        <w:rPr>
          <w:rFonts w:hint="eastAsia"/>
          <w:spacing w:val="4"/>
          <w:u w:val="single" w:color="auto"/>
        </w:rPr>
        <w:t>2,250.00</w:t>
      </w:r>
      <w:r>
        <w:rPr>
          <w:spacing w:val="4"/>
          <w:u w:val="single" w:color="auto"/>
        </w:rPr>
        <w:t xml:space="preserve"> </w:t>
      </w:r>
      <w:r>
        <w:rPr>
          <w:spacing w:val="-122"/>
        </w:rPr>
        <w:t xml:space="preserve"> </w:t>
      </w:r>
      <w:r>
        <w:rPr>
          <w:spacing w:val="4"/>
        </w:rPr>
        <w:t>万元。</w:t>
      </w:r>
    </w:p>
    <w:p>
      <w:pPr>
        <w:pStyle w:val="3"/>
        <w:spacing w:before="252" w:line="624" w:lineRule="exact"/>
        <w:jc w:val="right"/>
      </w:pPr>
      <w:r>
        <w:rPr>
          <w:spacing w:val="-1"/>
          <w:position w:val="23"/>
        </w:rPr>
        <w:t>(为</w:t>
      </w:r>
      <w:r>
        <w:rPr>
          <w:spacing w:val="-83"/>
          <w:position w:val="23"/>
        </w:rPr>
        <w:t xml:space="preserve"> </w:t>
      </w:r>
      <w:r>
        <w:rPr>
          <w:spacing w:val="-1"/>
          <w:position w:val="23"/>
        </w:rPr>
        <w:t>“</w:t>
      </w:r>
      <w:r>
        <w:rPr>
          <w:spacing w:val="-115"/>
          <w:position w:val="23"/>
        </w:rPr>
        <w:t xml:space="preserve"> </w:t>
      </w:r>
      <w:r>
        <w:rPr>
          <w:spacing w:val="-1"/>
          <w:position w:val="23"/>
        </w:rPr>
        <w:t>0”</w:t>
      </w:r>
      <w:r>
        <w:rPr>
          <w:spacing w:val="-120"/>
          <w:position w:val="23"/>
        </w:rPr>
        <w:t xml:space="preserve"> </w:t>
      </w:r>
      <w:r>
        <w:rPr>
          <w:spacing w:val="-1"/>
          <w:position w:val="23"/>
        </w:rPr>
        <w:t>的内容也应保留，</w:t>
      </w:r>
      <w:r>
        <w:rPr>
          <w:b/>
          <w:bCs/>
          <w:spacing w:val="-1"/>
          <w:position w:val="23"/>
        </w:rPr>
        <w:t>如</w:t>
      </w:r>
      <w:r>
        <w:rPr>
          <w:spacing w:val="-98"/>
          <w:position w:val="23"/>
        </w:rPr>
        <w:t xml:space="preserve"> </w:t>
      </w:r>
      <w:r>
        <w:rPr>
          <w:b/>
          <w:bCs/>
          <w:spacing w:val="-1"/>
          <w:position w:val="23"/>
        </w:rPr>
        <w:t>“政府采购工程预算</w:t>
      </w:r>
      <w:r>
        <w:rPr>
          <w:spacing w:val="-31"/>
          <w:position w:val="23"/>
        </w:rPr>
        <w:t xml:space="preserve"> </w:t>
      </w:r>
      <w:r>
        <w:rPr>
          <w:b/>
          <w:bCs/>
          <w:spacing w:val="-1"/>
          <w:position w:val="23"/>
        </w:rPr>
        <w:t>0</w:t>
      </w:r>
      <w:r>
        <w:rPr>
          <w:spacing w:val="-37"/>
          <w:position w:val="23"/>
        </w:rPr>
        <w:t xml:space="preserve"> </w:t>
      </w:r>
      <w:r>
        <w:rPr>
          <w:b/>
          <w:bCs/>
          <w:spacing w:val="-1"/>
          <w:position w:val="23"/>
        </w:rPr>
        <w:t>万</w:t>
      </w:r>
    </w:p>
    <w:p>
      <w:pPr>
        <w:pStyle w:val="3"/>
        <w:spacing w:before="2" w:line="223" w:lineRule="auto"/>
        <w:ind w:left="37"/>
      </w:pPr>
      <w:r>
        <w:rPr>
          <w:b/>
          <w:bCs/>
          <w:spacing w:val="-2"/>
        </w:rPr>
        <w:t>元”</w:t>
      </w:r>
      <w:r>
        <w:rPr>
          <w:spacing w:val="-2"/>
        </w:rPr>
        <w:t>)</w:t>
      </w:r>
    </w:p>
    <w:p>
      <w:pPr>
        <w:pStyle w:val="3"/>
        <w:spacing w:before="248" w:line="222" w:lineRule="auto"/>
        <w:ind w:left="734"/>
      </w:pPr>
      <w:r>
        <w:rPr>
          <w:b/>
          <w:bCs/>
        </w:rPr>
        <w:t>(八)国有资产占有使用情况</w:t>
      </w:r>
    </w:p>
    <w:p>
      <w:pPr>
        <w:pStyle w:val="3"/>
        <w:spacing w:before="250" w:line="372" w:lineRule="auto"/>
        <w:ind w:left="27" w:right="16" w:firstLine="644"/>
        <w:jc w:val="both"/>
      </w:pPr>
      <w:r>
        <w:rPr>
          <w:spacing w:val="-1"/>
        </w:rPr>
        <w:t>截至</w:t>
      </w:r>
      <w:r>
        <w:rPr>
          <w:rFonts w:hint="eastAsia"/>
          <w:spacing w:val="-1"/>
          <w:lang w:eastAsia="zh-CN"/>
        </w:rPr>
        <w:t>2024年</w:t>
      </w:r>
      <w:r>
        <w:rPr>
          <w:spacing w:val="-1"/>
        </w:rPr>
        <w:t>（上年）7</w:t>
      </w:r>
      <w:r>
        <w:rPr>
          <w:spacing w:val="-43"/>
        </w:rPr>
        <w:t xml:space="preserve"> </w:t>
      </w:r>
      <w:r>
        <w:rPr>
          <w:spacing w:val="-1"/>
        </w:rPr>
        <w:t>月</w:t>
      </w:r>
      <w:r>
        <w:rPr>
          <w:spacing w:val="-36"/>
        </w:rPr>
        <w:t xml:space="preserve"> </w:t>
      </w:r>
      <w:r>
        <w:rPr>
          <w:spacing w:val="-1"/>
        </w:rPr>
        <w:t>31 日（各级财政编制部门预算基</w:t>
      </w:r>
      <w:r>
        <w:rPr>
          <w:spacing w:val="13"/>
        </w:rPr>
        <w:t>础信息上报截止时间）, 部门共有车辆</w:t>
      </w:r>
      <w:r>
        <w:rPr>
          <w:spacing w:val="-148"/>
        </w:rPr>
        <w:t xml:space="preserve"> </w:t>
      </w:r>
      <w:r>
        <w:rPr>
          <w:spacing w:val="10"/>
          <w:u w:val="single" w:color="auto"/>
        </w:rPr>
        <w:t xml:space="preserve"> </w:t>
      </w:r>
      <w:r>
        <w:rPr>
          <w:rFonts w:hint="eastAsia"/>
          <w:spacing w:val="10"/>
          <w:u w:val="single" w:color="auto"/>
          <w:lang w:val="en-US" w:eastAsia="zh-CN"/>
        </w:rPr>
        <w:t>83</w:t>
      </w:r>
      <w:r>
        <w:rPr>
          <w:spacing w:val="10"/>
          <w:u w:val="single" w:color="auto"/>
        </w:rPr>
        <w:t xml:space="preserve"> </w:t>
      </w:r>
      <w:r>
        <w:rPr>
          <w:spacing w:val="-143"/>
        </w:rPr>
        <w:t xml:space="preserve"> </w:t>
      </w:r>
      <w:r>
        <w:rPr>
          <w:spacing w:val="13"/>
        </w:rPr>
        <w:t>辆,其中：一般</w:t>
      </w:r>
      <w:r>
        <w:rPr>
          <w:spacing w:val="6"/>
        </w:rPr>
        <w:t>公务用车实有数</w:t>
      </w:r>
      <w:r>
        <w:rPr>
          <w:spacing w:val="-155"/>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43"/>
        </w:rPr>
        <w:t xml:space="preserve"> </w:t>
      </w:r>
      <w:r>
        <w:rPr>
          <w:spacing w:val="6"/>
        </w:rPr>
        <w:t>辆。</w:t>
      </w:r>
    </w:p>
    <w:p>
      <w:pPr>
        <w:pStyle w:val="3"/>
        <w:spacing w:before="254" w:line="220" w:lineRule="auto"/>
        <w:ind w:right="16"/>
        <w:jc w:val="right"/>
      </w:pPr>
      <w:r>
        <w:rPr>
          <w:rFonts w:hint="eastAsia"/>
          <w:spacing w:val="6"/>
          <w:lang w:eastAsia="zh-CN"/>
        </w:rPr>
        <w:t>2024年</w:t>
      </w:r>
      <w:r>
        <w:rPr>
          <w:spacing w:val="6"/>
        </w:rPr>
        <w:t>部门预算安排购置车辆</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辆，安排购置单位价值</w:t>
      </w:r>
    </w:p>
    <w:p>
      <w:pPr>
        <w:spacing w:line="220" w:lineRule="auto"/>
        <w:sectPr>
          <w:pgSz w:w="11906" w:h="16839"/>
          <w:pgMar w:top="400" w:right="1785" w:bottom="400" w:left="1785" w:header="0" w:footer="0"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3"/>
        <w:spacing w:before="101" w:line="222" w:lineRule="auto"/>
        <w:ind w:left="38"/>
      </w:pPr>
      <w:r>
        <w:rPr>
          <w:spacing w:val="4"/>
        </w:rPr>
        <w:t>200</w:t>
      </w:r>
      <w:r>
        <w:rPr>
          <w:spacing w:val="-32"/>
        </w:rPr>
        <w:t xml:space="preserve"> </w:t>
      </w:r>
      <w:r>
        <w:rPr>
          <w:spacing w:val="4"/>
        </w:rPr>
        <w:t>万元以上大型设备具体为：</w:t>
      </w:r>
      <w:r>
        <w:rPr>
          <w:spacing w:val="-134"/>
        </w:rPr>
        <w:t xml:space="preserve"> </w:t>
      </w:r>
      <w:r>
        <w:rPr>
          <w:spacing w:val="4"/>
          <w:u w:val="single" w:color="auto"/>
        </w:rPr>
        <w:t xml:space="preserve"> </w:t>
      </w:r>
      <w:r>
        <w:rPr>
          <w:rFonts w:hint="eastAsia"/>
          <w:spacing w:val="4"/>
          <w:u w:val="single" w:color="auto"/>
          <w:lang w:val="en-US" w:eastAsia="zh-CN"/>
        </w:rPr>
        <w:t>无</w:t>
      </w:r>
      <w:r>
        <w:rPr>
          <w:spacing w:val="4"/>
          <w:u w:val="single" w:color="auto"/>
        </w:rPr>
        <w:t xml:space="preserve">  </w:t>
      </w:r>
      <w:r>
        <w:rPr>
          <w:spacing w:val="4"/>
        </w:rPr>
        <w:t>。</w:t>
      </w:r>
    </w:p>
    <w:p>
      <w:pPr>
        <w:pStyle w:val="3"/>
        <w:spacing w:before="250" w:line="624" w:lineRule="exact"/>
        <w:ind w:left="337"/>
      </w:pPr>
      <w:r>
        <w:rPr>
          <w:position w:val="23"/>
        </w:rPr>
        <w:t>（为</w:t>
      </w:r>
      <w:r>
        <w:rPr>
          <w:spacing w:val="-98"/>
          <w:position w:val="23"/>
        </w:rPr>
        <w:t xml:space="preserve"> </w:t>
      </w:r>
      <w:r>
        <w:rPr>
          <w:position w:val="23"/>
        </w:rPr>
        <w:t>“</w:t>
      </w:r>
      <w:r>
        <w:rPr>
          <w:spacing w:val="-120"/>
          <w:position w:val="23"/>
        </w:rPr>
        <w:t xml:space="preserve"> </w:t>
      </w:r>
      <w:r>
        <w:rPr>
          <w:position w:val="23"/>
        </w:rPr>
        <w:t>0”的内容也应保留，</w:t>
      </w:r>
      <w:r>
        <w:rPr>
          <w:b/>
          <w:bCs/>
          <w:position w:val="23"/>
        </w:rPr>
        <w:t>如</w:t>
      </w:r>
      <w:r>
        <w:rPr>
          <w:spacing w:val="-102"/>
          <w:position w:val="23"/>
        </w:rPr>
        <w:t xml:space="preserve"> </w:t>
      </w:r>
      <w:r>
        <w:rPr>
          <w:b/>
          <w:bCs/>
          <w:position w:val="23"/>
        </w:rPr>
        <w:t>“部门共有车辆</w:t>
      </w:r>
      <w:r>
        <w:rPr>
          <w:spacing w:val="-36"/>
          <w:position w:val="23"/>
        </w:rPr>
        <w:t xml:space="preserve"> </w:t>
      </w:r>
      <w:r>
        <w:rPr>
          <w:b/>
          <w:bCs/>
          <w:position w:val="23"/>
        </w:rPr>
        <w:t>0</w:t>
      </w:r>
      <w:r>
        <w:rPr>
          <w:spacing w:val="-60"/>
          <w:position w:val="23"/>
        </w:rPr>
        <w:t xml:space="preserve"> </w:t>
      </w:r>
      <w:r>
        <w:rPr>
          <w:b/>
          <w:bCs/>
          <w:position w:val="23"/>
        </w:rPr>
        <w:t>辆”</w:t>
      </w:r>
      <w:r>
        <w:rPr>
          <w:position w:val="23"/>
        </w:rPr>
        <w:t>）</w:t>
      </w:r>
    </w:p>
    <w:p>
      <w:pPr>
        <w:pStyle w:val="3"/>
        <w:spacing w:line="222" w:lineRule="auto"/>
        <w:ind w:left="659"/>
      </w:pPr>
      <w:r>
        <w:rPr>
          <w:b/>
          <w:bCs/>
          <w:spacing w:val="5"/>
        </w:rPr>
        <w:t>（九）</w:t>
      </w:r>
      <w:r>
        <w:rPr>
          <w:rFonts w:hint="eastAsia"/>
          <w:b/>
          <w:bCs/>
        </w:rPr>
        <w:t>城市管理维护</w:t>
      </w:r>
      <w:r>
        <w:rPr>
          <w:b/>
          <w:bCs/>
          <w:spacing w:val="5"/>
        </w:rPr>
        <w:t>项目情况说明</w:t>
      </w:r>
    </w:p>
    <w:p>
      <w:pPr>
        <w:pStyle w:val="3"/>
        <w:spacing w:before="250" w:line="624" w:lineRule="exact"/>
        <w:ind w:left="1167"/>
        <w:rPr>
          <w:spacing w:val="3"/>
          <w:position w:val="23"/>
        </w:rPr>
      </w:pPr>
      <w:r>
        <w:rPr>
          <w:spacing w:val="3"/>
          <w:position w:val="23"/>
        </w:rPr>
        <w:t>1）项目概述</w:t>
      </w:r>
      <w:r>
        <w:rPr>
          <w:rFonts w:hint="eastAsia"/>
          <w:spacing w:val="3"/>
          <w:position w:val="23"/>
          <w:lang w:eastAsia="zh-CN"/>
        </w:rPr>
        <w:t>：</w:t>
      </w:r>
      <w:r>
        <w:rPr>
          <w:rFonts w:hint="eastAsia"/>
          <w:spacing w:val="3"/>
          <w:position w:val="23"/>
        </w:rPr>
        <w:t>负责区城市政公用、环境卫生、公共照明、园林绿化、车辆停放管理、数字城管、城区一、二级排水主（涵）管等设施、设备的管护、维修；负责乌沙河风景区（含礼步湖公园、心怡广场）的综合管理、负责农村垃圾处理、农村垃圾工程设备、清洁工程、南矶乡清洁工程管理工作</w:t>
      </w:r>
      <w:r>
        <w:rPr>
          <w:rFonts w:hint="eastAsia"/>
          <w:spacing w:val="3"/>
          <w:position w:val="23"/>
          <w:lang w:val="en-US" w:eastAsia="zh-CN"/>
        </w:rPr>
        <w:t>和区交通警察大队的辅警人员经费和运行维护经费</w:t>
      </w:r>
      <w:r>
        <w:rPr>
          <w:rFonts w:hint="eastAsia"/>
          <w:spacing w:val="3"/>
          <w:position w:val="23"/>
        </w:rPr>
        <w:t>。</w:t>
      </w:r>
    </w:p>
    <w:p>
      <w:pPr>
        <w:pStyle w:val="3"/>
        <w:spacing w:line="223" w:lineRule="auto"/>
        <w:ind w:left="1159"/>
        <w:rPr>
          <w:rFonts w:hint="eastAsia" w:eastAsia="仿宋"/>
          <w:lang w:eastAsia="zh-CN"/>
        </w:rPr>
      </w:pPr>
      <w:r>
        <w:rPr>
          <w:spacing w:val="4"/>
        </w:rPr>
        <w:t>2）立项依据</w:t>
      </w:r>
      <w:r>
        <w:rPr>
          <w:rFonts w:hint="eastAsia"/>
          <w:spacing w:val="4"/>
          <w:lang w:eastAsia="zh-CN"/>
        </w:rPr>
        <w:t>：</w:t>
      </w:r>
      <w:r>
        <w:rPr>
          <w:rFonts w:hint="eastAsia" w:ascii="仿宋_GB2312" w:hAnsi="仿宋" w:eastAsia="仿宋_GB2312" w:cs="Times New Roman"/>
          <w:sz w:val="28"/>
          <w:szCs w:val="28"/>
          <w:lang w:val="en-US" w:eastAsia="zh-CN"/>
        </w:rPr>
        <w:t>人大通过的202</w:t>
      </w:r>
      <w:r>
        <w:rPr>
          <w:rFonts w:hint="eastAsia" w:ascii="仿宋_GB2312" w:eastAsia="仿宋_GB2312" w:cs="Times New Roman"/>
          <w:sz w:val="28"/>
          <w:szCs w:val="28"/>
          <w:lang w:val="en-US" w:eastAsia="zh-CN"/>
        </w:rPr>
        <w:t>4</w:t>
      </w:r>
      <w:r>
        <w:rPr>
          <w:rFonts w:hint="eastAsia" w:ascii="仿宋_GB2312" w:hAnsi="仿宋" w:eastAsia="仿宋_GB2312" w:cs="Times New Roman"/>
          <w:sz w:val="28"/>
          <w:szCs w:val="28"/>
          <w:lang w:val="en-US" w:eastAsia="zh-CN"/>
        </w:rPr>
        <w:t>年年初预算</w:t>
      </w:r>
    </w:p>
    <w:p>
      <w:pPr>
        <w:pStyle w:val="3"/>
        <w:spacing w:before="250" w:line="222" w:lineRule="auto"/>
        <w:ind w:left="1172"/>
      </w:pPr>
      <w:r>
        <w:rPr>
          <w:spacing w:val="2"/>
        </w:rPr>
        <w:t>3）实施主体</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南昌市新建区城市管理和综合执法局</w:t>
      </w:r>
    </w:p>
    <w:p>
      <w:pPr>
        <w:pStyle w:val="3"/>
        <w:spacing w:before="251" w:line="222" w:lineRule="auto"/>
        <w:ind w:left="1158"/>
      </w:pPr>
      <w:r>
        <w:rPr>
          <w:spacing w:val="5"/>
        </w:rPr>
        <w:t>4）实施方案</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202</w:t>
      </w:r>
      <w:r>
        <w:rPr>
          <w:rFonts w:hint="eastAsia" w:ascii="仿宋_GB2312" w:eastAsia="仿宋_GB2312" w:cs="Times New Roman"/>
          <w:sz w:val="28"/>
          <w:szCs w:val="28"/>
          <w:lang w:val="en-US" w:eastAsia="zh-CN"/>
        </w:rPr>
        <w:t>4</w:t>
      </w:r>
      <w:r>
        <w:rPr>
          <w:rFonts w:hint="eastAsia" w:ascii="仿宋_GB2312" w:hAnsi="仿宋" w:eastAsia="仿宋_GB2312" w:cs="Times New Roman"/>
          <w:sz w:val="28"/>
          <w:szCs w:val="28"/>
          <w:lang w:val="en-US" w:eastAsia="zh-CN"/>
        </w:rPr>
        <w:t>年年初预算编制方案</w:t>
      </w:r>
    </w:p>
    <w:p>
      <w:pPr>
        <w:pStyle w:val="3"/>
        <w:spacing w:before="251" w:line="222" w:lineRule="auto"/>
        <w:ind w:left="1163"/>
      </w:pPr>
      <w:r>
        <w:rPr>
          <w:spacing w:val="4"/>
        </w:rPr>
        <w:t>5）实施周期</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202</w:t>
      </w:r>
      <w:r>
        <w:rPr>
          <w:rFonts w:hint="eastAsia" w:ascii="仿宋_GB2312" w:eastAsia="仿宋_GB2312" w:cs="Times New Roman"/>
          <w:sz w:val="28"/>
          <w:szCs w:val="28"/>
          <w:lang w:val="en-US" w:eastAsia="zh-CN"/>
        </w:rPr>
        <w:t>4</w:t>
      </w:r>
      <w:r>
        <w:rPr>
          <w:rFonts w:hint="eastAsia" w:ascii="仿宋_GB2312" w:hAnsi="仿宋" w:eastAsia="仿宋_GB2312" w:cs="Times New Roman"/>
          <w:sz w:val="28"/>
          <w:szCs w:val="28"/>
          <w:lang w:val="en-US" w:eastAsia="zh-CN"/>
        </w:rPr>
        <w:t>-01至202</w:t>
      </w:r>
      <w:r>
        <w:rPr>
          <w:rFonts w:hint="eastAsia" w:ascii="仿宋_GB2312" w:eastAsia="仿宋_GB2312" w:cs="Times New Roman"/>
          <w:sz w:val="28"/>
          <w:szCs w:val="28"/>
          <w:lang w:val="en-US" w:eastAsia="zh-CN"/>
        </w:rPr>
        <w:t>4</w:t>
      </w:r>
      <w:r>
        <w:rPr>
          <w:rFonts w:hint="eastAsia" w:ascii="仿宋_GB2312" w:hAnsi="仿宋" w:eastAsia="仿宋_GB2312" w:cs="Times New Roman"/>
          <w:sz w:val="28"/>
          <w:szCs w:val="28"/>
          <w:lang w:val="en-US" w:eastAsia="zh-CN"/>
        </w:rPr>
        <w:t>-12</w:t>
      </w:r>
    </w:p>
    <w:p>
      <w:pPr>
        <w:pStyle w:val="3"/>
        <w:spacing w:before="251" w:line="222" w:lineRule="auto"/>
        <w:ind w:left="1162"/>
        <w:rPr>
          <w:rFonts w:hint="default" w:eastAsia="仿宋"/>
          <w:lang w:val="en-US" w:eastAsia="zh-CN"/>
        </w:rPr>
      </w:pPr>
      <w:r>
        <w:rPr>
          <w:spacing w:val="5"/>
        </w:rPr>
        <w:t>6）年度预算安排</w:t>
      </w:r>
      <w:r>
        <w:rPr>
          <w:rFonts w:hint="eastAsia"/>
          <w:spacing w:val="5"/>
          <w:lang w:eastAsia="zh-CN"/>
        </w:rPr>
        <w:t>：49,172.17</w:t>
      </w:r>
      <w:r>
        <w:rPr>
          <w:rFonts w:hint="eastAsia"/>
          <w:spacing w:val="5"/>
          <w:lang w:val="en-US" w:eastAsia="zh-CN"/>
        </w:rPr>
        <w:t>万元</w:t>
      </w:r>
    </w:p>
    <w:p>
      <w:pPr>
        <w:pStyle w:val="3"/>
        <w:spacing w:before="287" w:line="581" w:lineRule="exact"/>
        <w:ind w:right="83"/>
        <w:jc w:val="right"/>
      </w:pPr>
      <w:r>
        <w:rPr>
          <w:spacing w:val="6"/>
          <w:position w:val="20"/>
        </w:rPr>
        <w:t>（如果本部门没有项目，请说明</w:t>
      </w:r>
      <w:r>
        <w:rPr>
          <w:spacing w:val="-110"/>
          <w:position w:val="20"/>
        </w:rPr>
        <w:t xml:space="preserve"> </w:t>
      </w:r>
      <w:r>
        <w:rPr>
          <w:b/>
          <w:bCs/>
          <w:spacing w:val="6"/>
          <w:position w:val="20"/>
        </w:rPr>
        <w:t>“本部门本年度未安排</w:t>
      </w:r>
    </w:p>
    <w:p>
      <w:pPr>
        <w:pStyle w:val="3"/>
        <w:spacing w:before="2" w:line="223" w:lineRule="auto"/>
        <w:ind w:left="30"/>
      </w:pPr>
      <w:r>
        <w:rPr>
          <w:b/>
          <w:bCs/>
        </w:rPr>
        <w:t>项目”</w:t>
      </w:r>
      <w:r>
        <w:t>）</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00" w:line="222" w:lineRule="auto"/>
        <w:ind w:left="23"/>
        <w:rPr>
          <w:rFonts w:ascii="楷体" w:hAnsi="楷体" w:eastAsia="楷体" w:cs="楷体"/>
          <w:sz w:val="31"/>
          <w:szCs w:val="31"/>
        </w:rPr>
      </w:pPr>
      <w:r>
        <w:rPr>
          <w:rFonts w:ascii="楷体" w:hAnsi="楷体" w:eastAsia="楷体" w:cs="楷体"/>
          <w:b/>
          <w:bCs/>
          <w:spacing w:val="2"/>
          <w:sz w:val="31"/>
          <w:szCs w:val="31"/>
        </w:rPr>
        <w:t>二、</w:t>
      </w:r>
      <w:r>
        <w:rPr>
          <w:rFonts w:hint="eastAsia" w:ascii="楷体" w:hAnsi="楷体" w:eastAsia="楷体" w:cs="楷体"/>
          <w:b/>
          <w:bCs/>
          <w:spacing w:val="2"/>
          <w:sz w:val="31"/>
          <w:szCs w:val="31"/>
          <w:lang w:eastAsia="zh-CN"/>
        </w:rPr>
        <w:t>2024年</w:t>
      </w:r>
      <w:r>
        <w:rPr>
          <w:rFonts w:ascii="楷体" w:hAnsi="楷体" w:eastAsia="楷体" w:cs="楷体"/>
          <w:spacing w:val="-103"/>
          <w:sz w:val="31"/>
          <w:szCs w:val="31"/>
        </w:rPr>
        <w:t xml:space="preserve"> </w:t>
      </w:r>
      <w:r>
        <w:rPr>
          <w:rFonts w:ascii="楷体" w:hAnsi="楷体" w:eastAsia="楷体" w:cs="楷体"/>
          <w:b/>
          <w:bCs/>
          <w:spacing w:val="2"/>
          <w:sz w:val="31"/>
          <w:szCs w:val="31"/>
        </w:rPr>
        <w:t>“三公</w:t>
      </w:r>
      <w:r>
        <w:rPr>
          <w:rFonts w:ascii="Calibri" w:hAnsi="Calibri" w:eastAsia="Calibri" w:cs="Calibri"/>
          <w:b/>
          <w:bCs/>
          <w:spacing w:val="2"/>
          <w:sz w:val="31"/>
          <w:szCs w:val="31"/>
        </w:rPr>
        <w:t>”</w:t>
      </w:r>
      <w:r>
        <w:rPr>
          <w:rFonts w:ascii="Calibri" w:hAnsi="Calibri" w:eastAsia="Calibri" w:cs="Calibri"/>
          <w:b/>
          <w:bCs/>
          <w:spacing w:val="-49"/>
          <w:sz w:val="31"/>
          <w:szCs w:val="31"/>
        </w:rPr>
        <w:t xml:space="preserve"> </w:t>
      </w:r>
      <w:r>
        <w:rPr>
          <w:rFonts w:ascii="楷体" w:hAnsi="楷体" w:eastAsia="楷体" w:cs="楷体"/>
          <w:b/>
          <w:bCs/>
          <w:spacing w:val="2"/>
          <w:sz w:val="31"/>
          <w:szCs w:val="31"/>
        </w:rPr>
        <w:t>经费预算情况说明</w:t>
      </w:r>
    </w:p>
    <w:p>
      <w:pPr>
        <w:pStyle w:val="3"/>
        <w:spacing w:before="170" w:line="222" w:lineRule="auto"/>
        <w:ind w:left="684"/>
      </w:pPr>
      <w:r>
        <w:rPr>
          <w:rFonts w:hint="eastAsia"/>
          <w:lang w:eastAsia="zh-CN"/>
        </w:rPr>
        <w:t>2024年南昌市新建区城市管理和综合执法局</w:t>
      </w:r>
      <w:r>
        <w:t xml:space="preserve">"三公"经费财政拨款安排  </w:t>
      </w:r>
      <w:r>
        <w:rPr>
          <w:rFonts w:hint="eastAsia"/>
          <w:lang w:val="en-US" w:eastAsia="zh-CN"/>
        </w:rPr>
        <w:t>0</w:t>
      </w:r>
      <w:r>
        <w:t xml:space="preserve">  万元，其中：</w:t>
      </w:r>
    </w:p>
    <w:p>
      <w:pPr>
        <w:pStyle w:val="3"/>
        <w:spacing w:before="251" w:line="372" w:lineRule="auto"/>
        <w:jc w:val="right"/>
      </w:pPr>
      <w:r>
        <w:t>因公出国（境）费</w:t>
      </w:r>
      <w:r>
        <w:rPr>
          <w:spacing w:val="-137"/>
        </w:rPr>
        <w:t xml:space="preserve"> </w:t>
      </w:r>
      <w:r>
        <w:rPr>
          <w:spacing w:val="5"/>
          <w:u w:val="single" w:color="auto"/>
        </w:rPr>
        <w:t xml:space="preserve"> </w:t>
      </w:r>
      <w:r>
        <w:rPr>
          <w:rFonts w:hint="eastAsia"/>
          <w:spacing w:val="5"/>
          <w:u w:val="single" w:color="auto"/>
          <w:lang w:val="en-US" w:eastAsia="zh-CN"/>
        </w:rPr>
        <w:t>0</w:t>
      </w:r>
      <w:r>
        <w:rPr>
          <w:spacing w:val="-124"/>
        </w:rPr>
        <w:t xml:space="preserve"> </w:t>
      </w:r>
      <w:r>
        <w:t>万元,比上年增（减）</w:t>
      </w:r>
      <w:r>
        <w:rPr>
          <w:spacing w:val="-134"/>
        </w:rPr>
        <w:t xml:space="preserve"> </w:t>
      </w:r>
      <w:r>
        <w:rPr>
          <w:spacing w:val="5"/>
          <w:u w:val="single" w:color="auto"/>
        </w:rPr>
        <w:t xml:space="preserve"> </w:t>
      </w:r>
      <w:r>
        <w:rPr>
          <w:rFonts w:hint="eastAsia"/>
          <w:spacing w:val="5"/>
          <w:u w:val="single" w:color="auto"/>
          <w:lang w:val="en-US" w:eastAsia="zh-CN"/>
        </w:rPr>
        <w:t>0</w:t>
      </w:r>
      <w:r>
        <w:rPr>
          <w:u w:val="single" w:color="auto"/>
        </w:rPr>
        <w:t xml:space="preserve"> </w:t>
      </w:r>
      <w:r>
        <w:rPr>
          <w:spacing w:val="-125"/>
        </w:rPr>
        <w:t xml:space="preserve"> </w:t>
      </w:r>
      <w:r>
        <w:t>万元，</w:t>
      </w:r>
    </w:p>
    <w:p>
      <w:pPr>
        <w:pStyle w:val="3"/>
        <w:spacing w:line="223" w:lineRule="auto"/>
        <w:ind w:left="40"/>
      </w:pPr>
      <w:r>
        <w:rPr>
          <w:spacing w:val="3"/>
        </w:rPr>
        <w:t>主要原因是：</w:t>
      </w:r>
      <w:r>
        <w:rPr>
          <w:spacing w:val="-132"/>
        </w:rPr>
        <w:t xml:space="preserve"> </w:t>
      </w:r>
      <w:r>
        <w:rPr>
          <w:rFonts w:hint="eastAsia"/>
          <w:spacing w:val="5"/>
          <w:u w:val="single" w:color="auto"/>
          <w:lang w:val="en-US" w:eastAsia="zh-CN"/>
        </w:rPr>
        <w:t>与上年安排保持一致</w:t>
      </w:r>
      <w:r>
        <w:rPr>
          <w:spacing w:val="3"/>
          <w:u w:val="single" w:color="auto"/>
        </w:rPr>
        <w:t xml:space="preserve"> </w:t>
      </w:r>
      <w:r>
        <w:rPr>
          <w:spacing w:val="3"/>
        </w:rPr>
        <w:t>。</w:t>
      </w:r>
    </w:p>
    <w:p>
      <w:pPr>
        <w:pStyle w:val="3"/>
        <w:spacing w:before="249" w:line="372" w:lineRule="auto"/>
        <w:ind w:left="666"/>
      </w:pPr>
      <w:r>
        <w:rPr>
          <w:spacing w:val="6"/>
        </w:rPr>
        <w:t>公务接待费</w:t>
      </w:r>
      <w:r>
        <w:rPr>
          <w:spacing w:val="6"/>
          <w:u w:val="single" w:color="auto"/>
        </w:rPr>
        <w:t xml:space="preserve">  </w:t>
      </w:r>
      <w:r>
        <w:rPr>
          <w:rFonts w:hint="eastAsia"/>
          <w:spacing w:val="3"/>
          <w:u w:val="single" w:color="auto"/>
          <w:lang w:val="en-US" w:eastAsia="zh-CN"/>
        </w:rPr>
        <w:t xml:space="preserve">0 </w:t>
      </w:r>
      <w:r>
        <w:rPr>
          <w:spacing w:val="-125"/>
        </w:rPr>
        <w:t xml:space="preserve"> </w:t>
      </w:r>
      <w:r>
        <w:rPr>
          <w:spacing w:val="6"/>
        </w:rPr>
        <w:t>万元,比上年增（减）</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5"/>
        </w:rPr>
        <w:t xml:space="preserve"> </w:t>
      </w:r>
      <w:r>
        <w:rPr>
          <w:spacing w:val="5"/>
        </w:rPr>
        <w:t>万元，主要</w:t>
      </w:r>
    </w:p>
    <w:p>
      <w:pPr>
        <w:pStyle w:val="3"/>
        <w:spacing w:line="223" w:lineRule="auto"/>
        <w:ind w:left="35"/>
      </w:pPr>
      <w:r>
        <w:rPr>
          <w:spacing w:val="-1"/>
        </w:rPr>
        <w:t>原因是：</w:t>
      </w:r>
      <w:r>
        <w:rPr>
          <w:spacing w:val="-134"/>
        </w:rPr>
        <w:t xml:space="preserve"> </w:t>
      </w:r>
      <w:r>
        <w:rPr>
          <w:rFonts w:hint="eastAsia"/>
          <w:spacing w:val="5"/>
          <w:u w:val="single" w:color="auto"/>
          <w:lang w:val="en-US" w:eastAsia="zh-CN"/>
        </w:rPr>
        <w:t>与上年安排保持一致</w:t>
      </w:r>
      <w:r>
        <w:rPr>
          <w:spacing w:val="-1"/>
        </w:rPr>
        <w:t>。</w:t>
      </w:r>
    </w:p>
    <w:p>
      <w:pPr>
        <w:pStyle w:val="3"/>
        <w:spacing w:before="249" w:line="372" w:lineRule="auto"/>
        <w:ind w:left="666"/>
      </w:pPr>
      <w:r>
        <w:rPr>
          <w:spacing w:val="6"/>
        </w:rPr>
        <w:t>公务用车运行维护费</w:t>
      </w:r>
      <w:r>
        <w:rPr>
          <w:spacing w:val="6"/>
          <w:u w:val="single" w:color="auto"/>
        </w:rPr>
        <w:t xml:space="preserve"> </w:t>
      </w:r>
      <w:r>
        <w:rPr>
          <w:rFonts w:hint="eastAsia"/>
          <w:spacing w:val="3"/>
          <w:u w:val="single" w:color="auto"/>
          <w:lang w:val="en-US" w:eastAsia="zh-CN"/>
        </w:rPr>
        <w:t xml:space="preserve">0 </w:t>
      </w:r>
      <w:r>
        <w:rPr>
          <w:spacing w:val="-111"/>
        </w:rPr>
        <w:t xml:space="preserve"> </w:t>
      </w:r>
      <w:r>
        <w:rPr>
          <w:spacing w:val="6"/>
        </w:rPr>
        <w:t>万元,比上年增（减）</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w:t>
      </w:r>
    </w:p>
    <w:p>
      <w:pPr>
        <w:pStyle w:val="3"/>
        <w:spacing w:line="223" w:lineRule="auto"/>
        <w:ind w:left="37"/>
      </w:pPr>
      <w:r>
        <w:rPr>
          <w:spacing w:val="4"/>
        </w:rPr>
        <w:t>元，主要原因是：</w:t>
      </w:r>
      <w:r>
        <w:rPr>
          <w:spacing w:val="-130"/>
        </w:rPr>
        <w:t xml:space="preserve"> </w:t>
      </w:r>
      <w:r>
        <w:rPr>
          <w:spacing w:val="4"/>
          <w:u w:val="single" w:color="auto"/>
        </w:rPr>
        <w:t xml:space="preserve"> </w:t>
      </w:r>
      <w:r>
        <w:rPr>
          <w:rFonts w:hint="eastAsia"/>
          <w:spacing w:val="4"/>
          <w:u w:val="single" w:color="auto"/>
          <w:lang w:val="en-US" w:eastAsia="zh-CN"/>
        </w:rPr>
        <w:t>无</w:t>
      </w:r>
      <w:r>
        <w:rPr>
          <w:spacing w:val="4"/>
          <w:u w:val="single" w:color="auto"/>
        </w:rPr>
        <w:t xml:space="preserve"> </w:t>
      </w:r>
      <w:r>
        <w:rPr>
          <w:spacing w:val="4"/>
        </w:rPr>
        <w:t>。</w:t>
      </w:r>
    </w:p>
    <w:p>
      <w:pPr>
        <w:pStyle w:val="3"/>
        <w:spacing w:before="249" w:line="372" w:lineRule="auto"/>
        <w:ind w:left="666"/>
      </w:pPr>
      <w:r>
        <w:rPr>
          <w:spacing w:val="6"/>
        </w:rPr>
        <w:t>公务用车购置</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15"/>
        </w:rPr>
        <w:t xml:space="preserve"> </w:t>
      </w:r>
      <w:r>
        <w:rPr>
          <w:spacing w:val="6"/>
        </w:rPr>
        <w:t>万元,比上年增（减）</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万元，主</w:t>
      </w:r>
    </w:p>
    <w:p>
      <w:pPr>
        <w:pStyle w:val="3"/>
        <w:spacing w:line="223" w:lineRule="auto"/>
        <w:ind w:left="36"/>
      </w:pPr>
      <w:r>
        <w:t>要原因是：</w:t>
      </w:r>
      <w:r>
        <w:rPr>
          <w:spacing w:val="-129"/>
        </w:rPr>
        <w:t xml:space="preserve"> </w:t>
      </w:r>
      <w:r>
        <w:rPr>
          <w:spacing w:val="5"/>
          <w:u w:val="single" w:color="auto"/>
        </w:rPr>
        <w:t xml:space="preserve"> </w:t>
      </w:r>
      <w:r>
        <w:rPr>
          <w:rFonts w:hint="eastAsia"/>
          <w:spacing w:val="5"/>
          <w:u w:val="single" w:color="auto"/>
          <w:lang w:val="en-US" w:eastAsia="zh-CN"/>
        </w:rPr>
        <w:t>与上年安排保持一致</w:t>
      </w:r>
      <w:r>
        <w:rPr>
          <w:spacing w:val="5"/>
          <w:u w:val="single" w:color="auto"/>
        </w:rPr>
        <w:t xml:space="preserve"> </w:t>
      </w:r>
      <w:r>
        <w:t>。</w:t>
      </w:r>
    </w:p>
    <w:p>
      <w:pPr>
        <w:spacing w:line="280" w:lineRule="auto"/>
        <w:rPr>
          <w:rFonts w:ascii="Arial"/>
          <w:sz w:val="21"/>
        </w:rPr>
      </w:pPr>
    </w:p>
    <w:p>
      <w:pPr>
        <w:spacing w:line="281" w:lineRule="auto"/>
        <w:rPr>
          <w:rFonts w:ascii="Arial"/>
          <w:sz w:val="21"/>
        </w:rPr>
      </w:pPr>
    </w:p>
    <w:p>
      <w:pPr>
        <w:pStyle w:val="3"/>
        <w:spacing w:before="101" w:line="581" w:lineRule="exact"/>
        <w:ind w:right="16"/>
        <w:jc w:val="right"/>
      </w:pPr>
      <w:r>
        <w:rPr>
          <w:spacing w:val="3"/>
          <w:position w:val="20"/>
        </w:rPr>
        <w:t>（增减变化为</w:t>
      </w:r>
      <w:r>
        <w:rPr>
          <w:spacing w:val="-28"/>
          <w:position w:val="20"/>
        </w:rPr>
        <w:t xml:space="preserve"> </w:t>
      </w:r>
      <w:r>
        <w:rPr>
          <w:spacing w:val="3"/>
          <w:position w:val="20"/>
        </w:rPr>
        <w:t>0</w:t>
      </w:r>
      <w:r>
        <w:rPr>
          <w:spacing w:val="-35"/>
          <w:position w:val="20"/>
        </w:rPr>
        <w:t xml:space="preserve"> </w:t>
      </w:r>
      <w:r>
        <w:rPr>
          <w:spacing w:val="3"/>
          <w:position w:val="20"/>
        </w:rPr>
        <w:t>的也请填写，并在主要原因说明</w:t>
      </w:r>
      <w:r>
        <w:rPr>
          <w:spacing w:val="-107"/>
          <w:position w:val="20"/>
        </w:rPr>
        <w:t xml:space="preserve"> </w:t>
      </w:r>
      <w:r>
        <w:rPr>
          <w:b/>
          <w:bCs/>
          <w:spacing w:val="3"/>
          <w:position w:val="20"/>
        </w:rPr>
        <w:t>“与上</w:t>
      </w:r>
    </w:p>
    <w:p>
      <w:pPr>
        <w:pStyle w:val="3"/>
        <w:spacing w:line="221" w:lineRule="auto"/>
        <w:ind w:left="30"/>
      </w:pPr>
      <w:r>
        <w:rPr>
          <w:b/>
          <w:bCs/>
          <w:spacing w:val="5"/>
        </w:rPr>
        <w:t>年安排保持一致”</w:t>
      </w:r>
      <w:r>
        <w:rPr>
          <w:spacing w:val="5"/>
        </w:rPr>
        <w:t>）</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3"/>
        <w:spacing w:before="101" w:line="222" w:lineRule="auto"/>
        <w:ind w:left="2992"/>
        <w:rPr>
          <w:b/>
          <w:bCs/>
          <w:spacing w:val="4"/>
        </w:rPr>
        <w:sectPr>
          <w:pgSz w:w="11906" w:h="16839"/>
          <w:pgMar w:top="400" w:right="1785" w:bottom="400" w:left="1785" w:header="0" w:footer="0" w:gutter="0"/>
          <w:cols w:space="720" w:num="1"/>
        </w:sectPr>
      </w:pPr>
    </w:p>
    <w:p>
      <w:pPr>
        <w:pStyle w:val="3"/>
        <w:spacing w:before="101" w:line="222" w:lineRule="auto"/>
        <w:ind w:left="2992"/>
      </w:pPr>
      <w:r>
        <w:rPr>
          <w:b/>
          <w:bCs/>
          <w:spacing w:val="4"/>
        </w:rPr>
        <w:t>第四部分</w:t>
      </w:r>
      <w:r>
        <w:rPr>
          <w:spacing w:val="4"/>
        </w:rPr>
        <w:t xml:space="preserve">   </w:t>
      </w:r>
      <w:r>
        <w:rPr>
          <w:b/>
          <w:bCs/>
          <w:spacing w:val="4"/>
        </w:rPr>
        <w:t>名词解释</w:t>
      </w:r>
    </w:p>
    <w:p>
      <w:pPr>
        <w:pStyle w:val="3"/>
        <w:spacing w:before="268" w:line="222" w:lineRule="auto"/>
        <w:ind w:left="845"/>
      </w:pPr>
      <w:r>
        <w:rPr>
          <w:spacing w:val="4"/>
        </w:rPr>
        <w:t>一、收入科目</w:t>
      </w:r>
    </w:p>
    <w:p>
      <w:pPr>
        <w:pStyle w:val="3"/>
        <w:spacing w:before="267" w:line="221" w:lineRule="auto"/>
        <w:ind w:left="824"/>
      </w:pPr>
      <w:r>
        <w:rPr>
          <w:spacing w:val="8"/>
        </w:rPr>
        <w:t>各部门结合实际进行解释。</w:t>
      </w:r>
    </w:p>
    <w:p>
      <w:pPr>
        <w:pStyle w:val="3"/>
        <w:spacing w:before="198" w:line="228" w:lineRule="auto"/>
        <w:ind w:left="668"/>
      </w:pPr>
      <w:r>
        <w:rPr>
          <w:spacing w:val="8"/>
        </w:rPr>
        <w:t>（一）财政拨款：指省级财政当年拨付的资金。</w:t>
      </w:r>
    </w:p>
    <w:p>
      <w:pPr>
        <w:pStyle w:val="3"/>
        <w:spacing w:before="216" w:line="358" w:lineRule="auto"/>
        <w:ind w:left="24" w:right="14" w:firstLine="643"/>
      </w:pPr>
      <w:r>
        <w:rPr>
          <w:spacing w:val="8"/>
        </w:rPr>
        <w:t>（二）教育收费资金收入：反映实行专项管理的高中以</w:t>
      </w:r>
      <w:r>
        <w:rPr>
          <w:spacing w:val="18"/>
        </w:rPr>
        <w:t xml:space="preserve"> </w:t>
      </w:r>
      <w:r>
        <w:rPr>
          <w:spacing w:val="9"/>
        </w:rPr>
        <w:t>上学费、住宿费，高校委托培养费，函大、电大、夜大</w:t>
      </w:r>
      <w:r>
        <w:rPr>
          <w:spacing w:val="8"/>
        </w:rPr>
        <w:t>及短</w:t>
      </w:r>
    </w:p>
    <w:p>
      <w:pPr>
        <w:pStyle w:val="3"/>
        <w:spacing w:line="222" w:lineRule="auto"/>
        <w:ind w:left="24"/>
      </w:pPr>
      <w:r>
        <w:rPr>
          <w:spacing w:val="8"/>
        </w:rPr>
        <w:t>训班培训费等教育收费取得的收入。</w:t>
      </w:r>
    </w:p>
    <w:p>
      <w:pPr>
        <w:pStyle w:val="3"/>
        <w:spacing w:before="226" w:line="600" w:lineRule="exact"/>
        <w:ind w:right="16"/>
        <w:jc w:val="right"/>
      </w:pPr>
      <w:r>
        <w:rPr>
          <w:spacing w:val="9"/>
          <w:position w:val="21"/>
        </w:rPr>
        <w:t>（三）事业收入：指事业单位开展专业业务活动及辅助</w:t>
      </w:r>
    </w:p>
    <w:p>
      <w:pPr>
        <w:pStyle w:val="3"/>
        <w:spacing w:before="1" w:line="222" w:lineRule="auto"/>
        <w:ind w:left="44"/>
      </w:pPr>
      <w:r>
        <w:rPr>
          <w:spacing w:val="4"/>
        </w:rPr>
        <w:t>活动取得的收入。</w:t>
      </w:r>
    </w:p>
    <w:p>
      <w:pPr>
        <w:pStyle w:val="3"/>
        <w:spacing w:before="227" w:line="600" w:lineRule="exact"/>
        <w:ind w:right="14"/>
        <w:jc w:val="right"/>
      </w:pPr>
      <w:r>
        <w:rPr>
          <w:spacing w:val="9"/>
          <w:position w:val="21"/>
        </w:rPr>
        <w:t>（四）事业单位经营收入：指事业单位在专业业务活动</w:t>
      </w:r>
    </w:p>
    <w:p>
      <w:pPr>
        <w:pStyle w:val="3"/>
        <w:spacing w:line="221" w:lineRule="auto"/>
        <w:ind w:left="22"/>
      </w:pPr>
      <w:r>
        <w:rPr>
          <w:spacing w:val="9"/>
        </w:rPr>
        <w:t>及辅助活动之外开展非独立核算经营活动取得的收入。</w:t>
      </w:r>
    </w:p>
    <w:p>
      <w:pPr>
        <w:pStyle w:val="3"/>
        <w:spacing w:before="215" w:line="345" w:lineRule="auto"/>
        <w:ind w:left="36" w:right="14" w:firstLine="618"/>
      </w:pPr>
      <w:r>
        <w:rPr>
          <w:spacing w:val="9"/>
        </w:rPr>
        <w:t>（五）附属单位上缴收入：反映事业单位附属的独立核</w:t>
      </w:r>
      <w:r>
        <w:rPr>
          <w:spacing w:val="8"/>
        </w:rPr>
        <w:t xml:space="preserve"> 算单位按规定标准或比例缴纳的各项收入。包括附属的事业</w:t>
      </w:r>
    </w:p>
    <w:p>
      <w:pPr>
        <w:pStyle w:val="3"/>
        <w:spacing w:line="221" w:lineRule="auto"/>
        <w:ind w:left="34"/>
      </w:pPr>
      <w:r>
        <w:rPr>
          <w:spacing w:val="8"/>
        </w:rPr>
        <w:t>单位上缴的收入和附属的企业上缴的利润等。</w:t>
      </w:r>
    </w:p>
    <w:p>
      <w:pPr>
        <w:pStyle w:val="3"/>
        <w:spacing w:before="224" w:line="600" w:lineRule="exact"/>
        <w:ind w:right="16"/>
        <w:jc w:val="right"/>
      </w:pPr>
      <w:r>
        <w:rPr>
          <w:spacing w:val="9"/>
          <w:position w:val="21"/>
        </w:rPr>
        <w:t>（六）上级补助收入：反映事业单位从主管部门和上级</w:t>
      </w:r>
    </w:p>
    <w:p>
      <w:pPr>
        <w:pStyle w:val="3"/>
        <w:spacing w:line="221" w:lineRule="auto"/>
        <w:ind w:left="34"/>
      </w:pPr>
      <w:r>
        <w:rPr>
          <w:spacing w:val="7"/>
        </w:rPr>
        <w:t>单位取得的非财政补助收入。</w:t>
      </w:r>
    </w:p>
    <w:p>
      <w:pPr>
        <w:pStyle w:val="3"/>
        <w:spacing w:before="229" w:line="600" w:lineRule="exact"/>
        <w:ind w:right="16"/>
        <w:jc w:val="right"/>
      </w:pPr>
      <w:r>
        <w:rPr>
          <w:spacing w:val="9"/>
          <w:position w:val="21"/>
        </w:rPr>
        <w:t>（七）其他收入：指除财政拨款、事业收入、事业单位</w:t>
      </w:r>
    </w:p>
    <w:p>
      <w:pPr>
        <w:pStyle w:val="3"/>
        <w:spacing w:line="223" w:lineRule="auto"/>
        <w:ind w:left="34"/>
      </w:pPr>
      <w:r>
        <w:rPr>
          <w:spacing w:val="7"/>
        </w:rPr>
        <w:t>经营收入等以外的各项收入。</w:t>
      </w:r>
    </w:p>
    <w:p>
      <w:pPr>
        <w:spacing w:line="223" w:lineRule="auto"/>
        <w:sectPr>
          <w:pgSz w:w="11906" w:h="16839"/>
          <w:pgMar w:top="400" w:right="1785" w:bottom="400" w:left="1785" w:header="0" w:footer="0"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3"/>
        <w:spacing w:before="101" w:line="625" w:lineRule="exact"/>
        <w:ind w:left="680"/>
      </w:pPr>
      <w:r>
        <w:rPr>
          <w:spacing w:val="8"/>
          <w:position w:val="23"/>
        </w:rPr>
        <w:t>（八）使用非财政拨款结余：填列历年滚存的非限定用</w:t>
      </w:r>
    </w:p>
    <w:p>
      <w:pPr>
        <w:pStyle w:val="3"/>
        <w:spacing w:before="1" w:line="221" w:lineRule="auto"/>
        <w:ind w:left="26"/>
      </w:pPr>
      <w:r>
        <w:rPr>
          <w:spacing w:val="8"/>
        </w:rPr>
        <w:t>途的非统计财政拨款结余弥补</w:t>
      </w:r>
      <w:r>
        <w:rPr>
          <w:rFonts w:hint="eastAsia"/>
          <w:spacing w:val="8"/>
          <w:lang w:eastAsia="zh-CN"/>
        </w:rPr>
        <w:t>2024年</w:t>
      </w:r>
      <w:r>
        <w:rPr>
          <w:spacing w:val="8"/>
        </w:rPr>
        <w:t>收支差额的数额。</w:t>
      </w:r>
    </w:p>
    <w:p>
      <w:pPr>
        <w:pStyle w:val="3"/>
        <w:spacing w:before="302" w:line="358" w:lineRule="auto"/>
        <w:ind w:left="36" w:right="153" w:firstLine="644"/>
      </w:pPr>
      <w:r>
        <w:rPr>
          <w:spacing w:val="8"/>
        </w:rPr>
        <w:t>（九）上年结转和结余：填列</w:t>
      </w:r>
      <w:r>
        <w:rPr>
          <w:rFonts w:hint="eastAsia"/>
          <w:spacing w:val="8"/>
          <w:lang w:eastAsia="zh-CN"/>
        </w:rPr>
        <w:t>2024年</w:t>
      </w:r>
      <w:r>
        <w:rPr>
          <w:spacing w:val="8"/>
        </w:rPr>
        <w:t>（上年）全部结</w:t>
      </w:r>
      <w:r>
        <w:rPr>
          <w:spacing w:val="7"/>
        </w:rPr>
        <w:t>转和</w:t>
      </w:r>
      <w:r>
        <w:t xml:space="preserve"> </w:t>
      </w:r>
      <w:r>
        <w:rPr>
          <w:spacing w:val="8"/>
        </w:rPr>
        <w:t>结余的资金数，包括当年结转结余资金和历年滚存结转结余</w:t>
      </w:r>
    </w:p>
    <w:p>
      <w:pPr>
        <w:pStyle w:val="3"/>
        <w:spacing w:before="1" w:line="223" w:lineRule="auto"/>
        <w:ind w:left="40"/>
      </w:pPr>
      <w:r>
        <w:rPr>
          <w:spacing w:val="-3"/>
        </w:rPr>
        <w:t>资金。</w:t>
      </w:r>
    </w:p>
    <w:p>
      <w:pPr>
        <w:spacing w:line="345" w:lineRule="auto"/>
        <w:rPr>
          <w:rFonts w:ascii="Arial"/>
          <w:sz w:val="21"/>
        </w:rPr>
      </w:pPr>
    </w:p>
    <w:p>
      <w:pPr>
        <w:spacing w:line="345" w:lineRule="auto"/>
        <w:rPr>
          <w:rFonts w:ascii="Arial"/>
          <w:sz w:val="21"/>
        </w:rPr>
      </w:pPr>
    </w:p>
    <w:p>
      <w:pPr>
        <w:pStyle w:val="3"/>
        <w:spacing w:before="101" w:line="222" w:lineRule="auto"/>
        <w:ind w:left="684"/>
      </w:pPr>
      <w:r>
        <w:rPr>
          <w:spacing w:val="4"/>
        </w:rPr>
        <w:t>二、支出科目</w:t>
      </w:r>
    </w:p>
    <w:p>
      <w:pPr>
        <w:pStyle w:val="3"/>
        <w:spacing w:before="249" w:line="372" w:lineRule="auto"/>
        <w:ind w:left="36" w:right="72" w:firstLine="637"/>
      </w:pPr>
      <w:r>
        <w:rPr>
          <w:spacing w:val="8"/>
        </w:rPr>
        <w:t>对部门预算中涉及的支出功能分类科目（明细到项级</w:t>
      </w:r>
      <w:r>
        <w:rPr>
          <w:spacing w:val="-80"/>
          <w:w w:val="92"/>
        </w:rPr>
        <w:t>），</w:t>
      </w:r>
      <w:r>
        <w:rPr>
          <w:spacing w:val="2"/>
        </w:rPr>
        <w:t xml:space="preserve"> </w:t>
      </w:r>
      <w:r>
        <w:rPr>
          <w:spacing w:val="8"/>
        </w:rPr>
        <w:t>结合部门实际，参照《</w:t>
      </w:r>
      <w:r>
        <w:rPr>
          <w:rFonts w:hint="eastAsia"/>
          <w:spacing w:val="8"/>
          <w:lang w:eastAsia="zh-CN"/>
        </w:rPr>
        <w:t>2024年</w:t>
      </w:r>
      <w:r>
        <w:rPr>
          <w:spacing w:val="8"/>
        </w:rPr>
        <w:t>政府收支分类科目》的规范说明</w:t>
      </w:r>
    </w:p>
    <w:p>
      <w:pPr>
        <w:pStyle w:val="3"/>
        <w:spacing w:line="221" w:lineRule="auto"/>
        <w:ind w:left="26"/>
      </w:pPr>
      <w:r>
        <w:rPr>
          <w:spacing w:val="5"/>
        </w:rPr>
        <w:t>进行解释。</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3"/>
        <w:spacing w:before="101" w:line="222" w:lineRule="auto"/>
        <w:ind w:left="690"/>
      </w:pPr>
      <w:r>
        <w:rPr>
          <w:spacing w:val="5"/>
        </w:rPr>
        <w:t>三、相关专业名词</w:t>
      </w:r>
    </w:p>
    <w:p>
      <w:pPr>
        <w:pStyle w:val="3"/>
        <w:spacing w:before="307" w:line="357" w:lineRule="auto"/>
        <w:ind w:left="21" w:right="58" w:firstLine="637"/>
      </w:pPr>
      <w:r>
        <w:rPr>
          <w:spacing w:val="6"/>
        </w:rPr>
        <w:t>（</w:t>
      </w:r>
      <w:r>
        <w:rPr>
          <w:spacing w:val="-79"/>
        </w:rPr>
        <w:t xml:space="preserve"> </w:t>
      </w:r>
      <w:r>
        <w:rPr>
          <w:spacing w:val="6"/>
        </w:rPr>
        <w:t>一）机关运行费：指用财政拨款安排的为保障行政单</w:t>
      </w:r>
      <w:r>
        <w:t xml:space="preserve"> </w:t>
      </w:r>
      <w:r>
        <w:rPr>
          <w:spacing w:val="9"/>
        </w:rPr>
        <w:t>位（含参照公务员法管理的事业单位）运行用于购买货物和</w:t>
      </w:r>
      <w:r>
        <w:rPr>
          <w:spacing w:val="3"/>
        </w:rPr>
        <w:t xml:space="preserve"> </w:t>
      </w:r>
      <w:r>
        <w:rPr>
          <w:spacing w:val="8"/>
        </w:rPr>
        <w:t>服务的各项资金，包括办公费、</w:t>
      </w:r>
      <w:r>
        <w:rPr>
          <w:spacing w:val="-84"/>
        </w:rPr>
        <w:t xml:space="preserve"> </w:t>
      </w:r>
      <w:r>
        <w:rPr>
          <w:spacing w:val="8"/>
        </w:rPr>
        <w:t>印刷费、邮电费、差旅费、</w:t>
      </w:r>
      <w:r>
        <w:t xml:space="preserve"> </w:t>
      </w:r>
      <w:r>
        <w:rPr>
          <w:spacing w:val="1"/>
        </w:rPr>
        <w:t>会议费、福利费、日常维修费、专用材料及一般设备</w:t>
      </w:r>
      <w:r>
        <w:t xml:space="preserve">购置费、 </w:t>
      </w:r>
      <w:r>
        <w:rPr>
          <w:spacing w:val="9"/>
        </w:rPr>
        <w:t>办公用房水电费、办公用房取暖费、办公用房物业管理费、</w:t>
      </w:r>
    </w:p>
    <w:p>
      <w:pPr>
        <w:pStyle w:val="3"/>
        <w:spacing w:before="1" w:line="219" w:lineRule="auto"/>
        <w:ind w:left="25"/>
      </w:pPr>
      <w:r>
        <w:rPr>
          <w:spacing w:val="8"/>
        </w:rPr>
        <w:t>公务用车运行维护费以及其他费用。</w:t>
      </w:r>
    </w:p>
    <w:p>
      <w:pPr>
        <w:pStyle w:val="3"/>
        <w:spacing w:before="233" w:line="357" w:lineRule="auto"/>
        <w:ind w:left="47" w:firstLine="611"/>
      </w:pPr>
      <w:r>
        <w:rPr>
          <w:spacing w:val="-13"/>
        </w:rPr>
        <w:t>（</w:t>
      </w:r>
      <w:r>
        <w:rPr>
          <w:spacing w:val="-64"/>
        </w:rPr>
        <w:t xml:space="preserve"> </w:t>
      </w:r>
      <w:r>
        <w:rPr>
          <w:spacing w:val="-13"/>
        </w:rPr>
        <w:t>二）“三公”经费：指用财政拨款安排的因公出国（境）</w:t>
      </w:r>
      <w:r>
        <w:t xml:space="preserve"> </w:t>
      </w:r>
      <w:r>
        <w:rPr>
          <w:spacing w:val="8"/>
        </w:rPr>
        <w:t>费、公务用车购置及运行维护费和公务接待费。其中，因公</w:t>
      </w:r>
      <w:r>
        <w:t xml:space="preserve">  </w:t>
      </w:r>
      <w:r>
        <w:rPr>
          <w:spacing w:val="8"/>
        </w:rPr>
        <w:t>出国（境）费反映单位公务出国（境）的国际旅费、国外城</w:t>
      </w:r>
    </w:p>
    <w:p>
      <w:pPr>
        <w:pStyle w:val="3"/>
        <w:spacing w:before="1" w:line="221" w:lineRule="auto"/>
        <w:ind w:left="40"/>
      </w:pPr>
      <w:r>
        <w:rPr>
          <w:spacing w:val="8"/>
        </w:rPr>
        <w:t>市间交通费、住宿费、伙食费、培训费、公杂费等支出；公</w:t>
      </w:r>
    </w:p>
    <w:p>
      <w:pPr>
        <w:spacing w:line="221" w:lineRule="auto"/>
        <w:sectPr>
          <w:pgSz w:w="11906" w:h="16839"/>
          <w:pgMar w:top="400" w:right="1645" w:bottom="400" w:left="1785" w:header="0" w:footer="0" w:gutter="0"/>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3"/>
        <w:spacing w:before="101" w:line="220" w:lineRule="auto"/>
        <w:ind w:left="32"/>
      </w:pPr>
      <w:r>
        <w:rPr>
          <w:spacing w:val="9"/>
        </w:rPr>
        <w:t>务用车购置及运行维护费反映单位公务用车车辆购置支出</w:t>
      </w:r>
    </w:p>
    <w:p>
      <w:pPr>
        <w:pStyle w:val="3"/>
        <w:spacing w:before="231" w:line="600" w:lineRule="exact"/>
        <w:ind w:left="18"/>
      </w:pPr>
      <w:r>
        <w:rPr>
          <w:spacing w:val="8"/>
          <w:position w:val="21"/>
        </w:rPr>
        <w:t>（含车辆购置税、牌照费</w:t>
      </w:r>
      <w:r>
        <w:rPr>
          <w:spacing w:val="-61"/>
          <w:position w:val="21"/>
        </w:rPr>
        <w:t>），</w:t>
      </w:r>
      <w:r>
        <w:rPr>
          <w:spacing w:val="8"/>
          <w:position w:val="21"/>
        </w:rPr>
        <w:t>按规定保留的公务用车燃料费、</w:t>
      </w:r>
    </w:p>
    <w:p>
      <w:pPr>
        <w:pStyle w:val="3"/>
        <w:spacing w:line="221" w:lineRule="auto"/>
        <w:ind w:left="36"/>
      </w:pPr>
      <w:r>
        <w:rPr>
          <w:spacing w:val="9"/>
        </w:rPr>
        <w:t>维修费、过桥过路费、保险费、安全奖励费 用等支出；公</w:t>
      </w:r>
    </w:p>
    <w:p>
      <w:pPr>
        <w:pStyle w:val="3"/>
        <w:spacing w:before="228" w:line="600" w:lineRule="exact"/>
        <w:jc w:val="right"/>
      </w:pPr>
      <w:r>
        <w:rPr>
          <w:spacing w:val="8"/>
          <w:position w:val="21"/>
        </w:rPr>
        <w:t>务接待费反映单位按规定开支的各类公务接待（含外宾接待）</w:t>
      </w:r>
    </w:p>
    <w:p>
      <w:pPr>
        <w:pStyle w:val="3"/>
        <w:spacing w:before="1" w:line="223" w:lineRule="auto"/>
        <w:ind w:left="34"/>
      </w:pPr>
      <w:r>
        <w:rPr>
          <w:spacing w:val="-1"/>
        </w:rPr>
        <w:t>支出。</w:t>
      </w:r>
    </w:p>
    <w:p>
      <w:pPr>
        <w:spacing w:line="223" w:lineRule="auto"/>
        <w:sectPr>
          <w:pgSz w:w="11906" w:h="16839"/>
          <w:pgMar w:top="400" w:right="1485" w:bottom="400" w:left="1785" w:header="0" w:footer="0" w:gutter="0"/>
          <w:cols w:space="720" w:num="1"/>
        </w:sectPr>
      </w:pPr>
    </w:p>
    <w:p>
      <w:pPr>
        <w:spacing w:line="291" w:lineRule="auto"/>
        <w:rPr>
          <w:rFonts w:ascii="Arial"/>
          <w:sz w:val="21"/>
        </w:rPr>
      </w:pPr>
    </w:p>
    <w:p>
      <w:pPr>
        <w:spacing w:line="292" w:lineRule="auto"/>
        <w:jc w:val="center"/>
        <w:rPr>
          <w:rFonts w:ascii="Arial"/>
          <w:sz w:val="21"/>
        </w:rPr>
      </w:pPr>
      <w:r>
        <w:drawing>
          <wp:inline distT="0" distB="0" distL="114300" distR="114300">
            <wp:extent cx="7581900" cy="415290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7581900" cy="4152900"/>
                    </a:xfrm>
                    <a:prstGeom prst="rect">
                      <a:avLst/>
                    </a:prstGeom>
                    <a:noFill/>
                    <a:ln>
                      <a:noFill/>
                    </a:ln>
                  </pic:spPr>
                </pic:pic>
              </a:graphicData>
            </a:graphic>
          </wp:inline>
        </w:drawing>
      </w:r>
    </w:p>
    <w:p>
      <w:pPr>
        <w:spacing w:line="289" w:lineRule="auto"/>
        <w:rPr>
          <w:rFonts w:ascii="Arial"/>
          <w:sz w:val="21"/>
        </w:rPr>
        <w:sectPr>
          <w:pgSz w:w="16837" w:h="11905"/>
          <w:pgMar w:top="1040" w:right="1013" w:bottom="400" w:left="954" w:header="0" w:footer="0" w:gutter="0"/>
          <w:cols w:equalWidth="0" w:num="1">
            <w:col w:w="14869"/>
          </w:cols>
        </w:sectPr>
      </w:pPr>
    </w:p>
    <w:p>
      <w:pPr>
        <w:spacing w:line="289" w:lineRule="auto"/>
        <w:rPr>
          <w:rFonts w:ascii="Arial"/>
          <w:sz w:val="21"/>
        </w:rPr>
      </w:pPr>
      <w:r>
        <w:drawing>
          <wp:inline distT="0" distB="0" distL="114300" distR="114300">
            <wp:extent cx="9438640" cy="4949190"/>
            <wp:effectExtent l="0" t="0" r="10160"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9438640" cy="4949190"/>
                    </a:xfrm>
                    <a:prstGeom prst="rect">
                      <a:avLst/>
                    </a:prstGeom>
                    <a:noFill/>
                    <a:ln>
                      <a:noFill/>
                    </a:ln>
                  </pic:spPr>
                </pic:pic>
              </a:graphicData>
            </a:graphic>
          </wp:inline>
        </w:drawing>
      </w:r>
    </w:p>
    <w:p>
      <w:pPr>
        <w:spacing w:line="290" w:lineRule="auto"/>
        <w:rPr>
          <w:rFonts w:ascii="Arial"/>
          <w:sz w:val="21"/>
        </w:rPr>
      </w:pPr>
    </w:p>
    <w:p>
      <w:pPr>
        <w:spacing w:line="14" w:lineRule="auto"/>
        <w:rPr>
          <w:rFonts w:ascii="Arial"/>
          <w:sz w:val="2"/>
        </w:rPr>
      </w:pPr>
    </w:p>
    <w:p>
      <w:pPr>
        <w:spacing w:line="14" w:lineRule="auto"/>
        <w:rPr>
          <w:rFonts w:ascii="Arial" w:hAnsi="Arial" w:eastAsia="Arial" w:cs="Arial"/>
          <w:sz w:val="2"/>
          <w:szCs w:val="2"/>
        </w:rPr>
        <w:sectPr>
          <w:type w:val="continuous"/>
          <w:pgSz w:w="16837" w:h="11905"/>
          <w:pgMar w:top="1040" w:right="1013" w:bottom="400" w:left="954" w:header="0" w:footer="0" w:gutter="0"/>
          <w:cols w:equalWidth="0" w:num="1">
            <w:col w:w="14869"/>
          </w:cols>
        </w:sectPr>
      </w:pPr>
    </w:p>
    <w:p>
      <w:pPr>
        <w:spacing w:line="253" w:lineRule="auto"/>
        <w:rPr>
          <w:rFonts w:ascii="Arial"/>
          <w:sz w:val="21"/>
        </w:rPr>
      </w:pPr>
      <w:r>
        <w:drawing>
          <wp:inline distT="0" distB="0" distL="114300" distR="114300">
            <wp:extent cx="9424670" cy="6319520"/>
            <wp:effectExtent l="0" t="0" r="8890" b="508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1"/>
                    <a:stretch>
                      <a:fillRect/>
                    </a:stretch>
                  </pic:blipFill>
                  <pic:spPr>
                    <a:xfrm>
                      <a:off x="0" y="0"/>
                      <a:ext cx="9424670" cy="6319520"/>
                    </a:xfrm>
                    <a:prstGeom prst="rect">
                      <a:avLst/>
                    </a:prstGeom>
                    <a:noFill/>
                    <a:ln>
                      <a:noFill/>
                    </a:ln>
                  </pic:spPr>
                </pic:pic>
              </a:graphicData>
            </a:graphic>
          </wp:inline>
        </w:drawing>
      </w: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r>
        <w:drawing>
          <wp:inline distT="0" distB="0" distL="114300" distR="114300">
            <wp:extent cx="9428480" cy="3050540"/>
            <wp:effectExtent l="0" t="0" r="5080" b="1270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2"/>
                    <a:stretch>
                      <a:fillRect/>
                    </a:stretch>
                  </pic:blipFill>
                  <pic:spPr>
                    <a:xfrm>
                      <a:off x="0" y="0"/>
                      <a:ext cx="9428480" cy="3050540"/>
                    </a:xfrm>
                    <a:prstGeom prst="rect">
                      <a:avLst/>
                    </a:prstGeom>
                    <a:noFill/>
                    <a:ln>
                      <a:noFill/>
                    </a:ln>
                  </pic:spPr>
                </pic:pic>
              </a:graphicData>
            </a:graphic>
          </wp:inline>
        </w:drawing>
      </w:r>
    </w:p>
    <w:p>
      <w:pPr>
        <w:rPr>
          <w:rFonts w:ascii="Arial"/>
          <w:sz w:val="21"/>
        </w:rPr>
      </w:pPr>
    </w:p>
    <w:p>
      <w:pPr>
        <w:rPr>
          <w:rFonts w:ascii="Arial"/>
          <w:sz w:val="21"/>
        </w:rPr>
      </w:pPr>
    </w:p>
    <w:p>
      <w:pPr>
        <w:rPr>
          <w:rFonts w:ascii="Arial"/>
          <w:sz w:val="21"/>
        </w:rPr>
      </w:pPr>
    </w:p>
    <w:p>
      <w:pPr>
        <w:spacing w:line="258" w:lineRule="auto"/>
        <w:rPr>
          <w:rFonts w:ascii="Arial"/>
          <w:sz w:val="21"/>
        </w:rPr>
      </w:pPr>
    </w:p>
    <w:p>
      <w:pPr>
        <w:spacing w:line="259" w:lineRule="auto"/>
        <w:rPr>
          <w:rFonts w:ascii="Arial"/>
          <w:sz w:val="21"/>
        </w:rPr>
      </w:pPr>
      <w:r>
        <w:drawing>
          <wp:inline distT="0" distB="0" distL="114300" distR="114300">
            <wp:extent cx="9575800" cy="5574030"/>
            <wp:effectExtent l="0" t="0" r="10160" b="381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3"/>
                    <a:stretch>
                      <a:fillRect/>
                    </a:stretch>
                  </pic:blipFill>
                  <pic:spPr>
                    <a:xfrm>
                      <a:off x="0" y="0"/>
                      <a:ext cx="9575800" cy="5574030"/>
                    </a:xfrm>
                    <a:prstGeom prst="rect">
                      <a:avLst/>
                    </a:prstGeom>
                    <a:noFill/>
                    <a:ln>
                      <a:noFill/>
                    </a:ln>
                  </pic:spPr>
                </pic:pic>
              </a:graphicData>
            </a:graphic>
          </wp:inline>
        </w:drawing>
      </w:r>
    </w:p>
    <w:p>
      <w:pPr>
        <w:spacing w:line="259" w:lineRule="auto"/>
        <w:rPr>
          <w:rFonts w:ascii="Arial"/>
          <w:sz w:val="21"/>
        </w:rPr>
      </w:pPr>
    </w:p>
    <w:p>
      <w:pPr>
        <w:spacing w:before="133" w:line="221" w:lineRule="auto"/>
        <w:ind w:left="5700"/>
        <w:rPr>
          <w:rFonts w:ascii="宋体" w:hAnsi="宋体" w:eastAsia="宋体" w:cs="宋体"/>
          <w:b/>
          <w:bCs/>
          <w:spacing w:val="-2"/>
          <w:sz w:val="41"/>
          <w:szCs w:val="41"/>
        </w:rPr>
      </w:pPr>
    </w:p>
    <w:p>
      <w:pPr>
        <w:spacing w:before="133" w:line="221" w:lineRule="auto"/>
        <w:ind w:left="5700"/>
        <w:rPr>
          <w:rFonts w:ascii="宋体" w:hAnsi="宋体" w:eastAsia="宋体" w:cs="宋体"/>
          <w:b/>
          <w:bCs/>
          <w:spacing w:val="-2"/>
          <w:sz w:val="41"/>
          <w:szCs w:val="41"/>
        </w:rPr>
      </w:pPr>
    </w:p>
    <w:p>
      <w:pPr>
        <w:spacing w:line="14" w:lineRule="auto"/>
        <w:rPr>
          <w:rFonts w:ascii="Arial"/>
          <w:sz w:val="2"/>
        </w:rPr>
      </w:pPr>
    </w:p>
    <w:p>
      <w:pPr>
        <w:spacing w:line="14" w:lineRule="auto"/>
        <w:rPr>
          <w:rFonts w:ascii="Arial" w:hAnsi="Arial" w:eastAsia="Arial" w:cs="Arial"/>
          <w:sz w:val="2"/>
          <w:szCs w:val="2"/>
        </w:rPr>
        <w:sectPr>
          <w:type w:val="continuous"/>
          <w:pgSz w:w="16837" w:h="11905"/>
          <w:pgMar w:top="400" w:right="888" w:bottom="400" w:left="866" w:header="0" w:footer="0" w:gutter="0"/>
          <w:cols w:equalWidth="0" w:num="1">
            <w:col w:w="15082"/>
          </w:cols>
        </w:sectPr>
      </w:pPr>
    </w:p>
    <w:p>
      <w:pPr>
        <w:spacing w:line="255" w:lineRule="auto"/>
        <w:rPr>
          <w:rFonts w:ascii="Arial"/>
          <w:sz w:val="21"/>
        </w:rPr>
      </w:pPr>
      <w:r>
        <w:drawing>
          <wp:inline distT="0" distB="0" distL="114300" distR="114300">
            <wp:extent cx="9681210" cy="6727825"/>
            <wp:effectExtent l="0" t="0" r="11430" b="825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4"/>
                    <a:stretch>
                      <a:fillRect/>
                    </a:stretch>
                  </pic:blipFill>
                  <pic:spPr>
                    <a:xfrm>
                      <a:off x="0" y="0"/>
                      <a:ext cx="9681210" cy="6727825"/>
                    </a:xfrm>
                    <a:prstGeom prst="rect">
                      <a:avLst/>
                    </a:prstGeom>
                    <a:noFill/>
                    <a:ln>
                      <a:noFill/>
                    </a:ln>
                  </pic:spPr>
                </pic:pic>
              </a:graphicData>
            </a:graphic>
          </wp:inline>
        </w:drawing>
      </w:r>
    </w:p>
    <w:p>
      <w:pPr>
        <w:spacing w:line="255" w:lineRule="auto"/>
        <w:rPr>
          <w:rFonts w:ascii="Arial"/>
          <w:sz w:val="21"/>
        </w:rPr>
      </w:pPr>
    </w:p>
    <w:p>
      <w:pPr>
        <w:spacing w:line="256" w:lineRule="auto"/>
      </w:pPr>
      <w:r>
        <w:drawing>
          <wp:inline distT="0" distB="0" distL="114300" distR="114300">
            <wp:extent cx="9678670" cy="1932940"/>
            <wp:effectExtent l="0" t="0" r="13970" b="254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5"/>
                    <a:stretch>
                      <a:fillRect/>
                    </a:stretch>
                  </pic:blipFill>
                  <pic:spPr>
                    <a:xfrm>
                      <a:off x="0" y="0"/>
                      <a:ext cx="9678670" cy="1932940"/>
                    </a:xfrm>
                    <a:prstGeom prst="rect">
                      <a:avLst/>
                    </a:prstGeom>
                    <a:noFill/>
                    <a:ln>
                      <a:noFill/>
                    </a:ln>
                  </pic:spPr>
                </pic:pic>
              </a:graphicData>
            </a:graphic>
          </wp:inline>
        </w:drawing>
      </w:r>
    </w:p>
    <w:p>
      <w:pPr>
        <w:spacing w:line="256" w:lineRule="auto"/>
      </w:pPr>
    </w:p>
    <w:p>
      <w:pPr>
        <w:spacing w:line="256" w:lineRule="auto"/>
      </w:pPr>
    </w:p>
    <w:p>
      <w:pPr>
        <w:spacing w:line="256" w:lineRule="auto"/>
        <w:jc w:val="center"/>
      </w:pPr>
      <w:r>
        <w:drawing>
          <wp:inline distT="0" distB="0" distL="114300" distR="114300">
            <wp:extent cx="8328660" cy="2042160"/>
            <wp:effectExtent l="0" t="0" r="7620" b="0"/>
            <wp:docPr id="2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pic:cNvPicPr>
                      <a:picLocks noChangeAspect="1"/>
                    </pic:cNvPicPr>
                  </pic:nvPicPr>
                  <pic:blipFill>
                    <a:blip r:embed="rId16"/>
                    <a:stretch>
                      <a:fillRect/>
                    </a:stretch>
                  </pic:blipFill>
                  <pic:spPr>
                    <a:xfrm>
                      <a:off x="0" y="0"/>
                      <a:ext cx="8328660" cy="2042160"/>
                    </a:xfrm>
                    <a:prstGeom prst="rect">
                      <a:avLst/>
                    </a:prstGeom>
                    <a:noFill/>
                    <a:ln>
                      <a:noFill/>
                    </a:ln>
                  </pic:spPr>
                </pic:pic>
              </a:graphicData>
            </a:graphic>
          </wp:inline>
        </w:drawing>
      </w:r>
    </w:p>
    <w:p>
      <w:pPr>
        <w:spacing w:line="14" w:lineRule="auto"/>
        <w:rPr>
          <w:rFonts w:ascii="Arial"/>
          <w:sz w:val="2"/>
        </w:rPr>
      </w:pPr>
    </w:p>
    <w:p>
      <w:pPr>
        <w:spacing w:line="14" w:lineRule="auto"/>
        <w:rPr>
          <w:rFonts w:ascii="Arial" w:hAnsi="Arial" w:eastAsia="Arial" w:cs="Arial"/>
          <w:sz w:val="2"/>
          <w:szCs w:val="2"/>
        </w:rPr>
        <w:sectPr>
          <w:type w:val="continuous"/>
          <w:pgSz w:w="16837" w:h="11905"/>
          <w:pgMar w:top="840" w:right="803" w:bottom="400" w:left="781" w:header="0" w:footer="0" w:gutter="0"/>
          <w:cols w:equalWidth="0" w:num="1">
            <w:col w:w="15253"/>
          </w:cols>
        </w:sectPr>
      </w:pPr>
    </w:p>
    <w:p>
      <w:pPr>
        <w:spacing w:before="232"/>
      </w:pPr>
    </w:p>
    <w:p>
      <w:pPr>
        <w:spacing w:line="257" w:lineRule="auto"/>
        <w:jc w:val="center"/>
        <w:rPr>
          <w:rFonts w:ascii="Arial"/>
          <w:sz w:val="21"/>
        </w:rPr>
      </w:pPr>
    </w:p>
    <w:p>
      <w:pPr>
        <w:spacing w:line="257" w:lineRule="auto"/>
        <w:rPr>
          <w:rFonts w:ascii="Arial"/>
          <w:sz w:val="21"/>
        </w:rPr>
      </w:pPr>
    </w:p>
    <w:p>
      <w:pPr>
        <w:spacing w:before="68" w:line="225" w:lineRule="auto"/>
        <w:ind w:right="28"/>
        <w:jc w:val="right"/>
        <w:rPr>
          <w:rFonts w:ascii="宋体" w:hAnsi="宋体" w:eastAsia="宋体" w:cs="宋体"/>
          <w:sz w:val="21"/>
          <w:szCs w:val="21"/>
        </w:rPr>
      </w:pPr>
      <w:r>
        <w:rPr>
          <w:rFonts w:ascii="宋体" w:hAnsi="宋体" w:eastAsia="宋体" w:cs="宋体"/>
          <w:spacing w:val="5"/>
          <w:sz w:val="21"/>
          <w:szCs w:val="21"/>
        </w:rPr>
        <w:t>注：若为空表，则为该部门（单位）无政府性基金支出</w:t>
      </w:r>
    </w:p>
    <w:p>
      <w:pPr>
        <w:spacing w:line="257" w:lineRule="auto"/>
        <w:rPr>
          <w:rFonts w:ascii="Arial"/>
          <w:sz w:val="21"/>
        </w:rPr>
      </w:pPr>
    </w:p>
    <w:p>
      <w:pPr>
        <w:spacing w:line="257" w:lineRule="auto"/>
        <w:jc w:val="center"/>
        <w:rPr>
          <w:rFonts w:ascii="Arial"/>
          <w:sz w:val="21"/>
        </w:rPr>
      </w:pPr>
      <w:r>
        <w:drawing>
          <wp:inline distT="0" distB="0" distL="114300" distR="114300">
            <wp:extent cx="8564880" cy="2186940"/>
            <wp:effectExtent l="0" t="0" r="0" b="7620"/>
            <wp:docPr id="2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
                    <pic:cNvPicPr>
                      <a:picLocks noChangeAspect="1"/>
                    </pic:cNvPicPr>
                  </pic:nvPicPr>
                  <pic:blipFill>
                    <a:blip r:embed="rId17"/>
                    <a:stretch>
                      <a:fillRect/>
                    </a:stretch>
                  </pic:blipFill>
                  <pic:spPr>
                    <a:xfrm>
                      <a:off x="0" y="0"/>
                      <a:ext cx="8564880" cy="2186940"/>
                    </a:xfrm>
                    <a:prstGeom prst="rect">
                      <a:avLst/>
                    </a:prstGeom>
                    <a:noFill/>
                    <a:ln>
                      <a:noFill/>
                    </a:ln>
                  </pic:spPr>
                </pic:pic>
              </a:graphicData>
            </a:graphic>
          </wp:inline>
        </w:drawing>
      </w:r>
    </w:p>
    <w:p>
      <w:pPr>
        <w:spacing w:before="68" w:line="225" w:lineRule="auto"/>
        <w:ind w:right="28"/>
        <w:jc w:val="right"/>
        <w:rPr>
          <w:rFonts w:ascii="Arial"/>
          <w:sz w:val="21"/>
        </w:rPr>
      </w:pPr>
      <w:r>
        <w:pict>
          <v:shape id="_x0000_s1030" o:spid="_x0000_s1030" o:spt="202" type="#_x0000_t202" style="position:absolute;left:0pt;margin-left:1.65pt;margin-top:1.6pt;height:14.85pt;width:50.1pt;z-index:251659264;mso-width-relative:page;mso-height-relative:page;" filled="f" stroked="f" coordsize="21600,21600">
            <v:path/>
            <v:fill on="f" focussize="0,0"/>
            <v:stroke on="f"/>
            <v:imagedata o:title=""/>
            <o:lock v:ext="edit" aspectratio="f"/>
            <v:textbox inset="0mm,0mm,0mm,0mm">
              <w:txbxContent>
                <w:p>
                  <w:pPr>
                    <w:spacing w:before="20" w:line="225" w:lineRule="auto"/>
                    <w:jc w:val="both"/>
                    <w:rPr>
                      <w:rFonts w:ascii="宋体" w:hAnsi="宋体" w:eastAsia="宋体" w:cs="宋体"/>
                      <w:sz w:val="21"/>
                      <w:szCs w:val="21"/>
                    </w:rPr>
                  </w:pPr>
                </w:p>
              </w:txbxContent>
            </v:textbox>
          </v:shape>
        </w:pic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jc w:val="center"/>
        <w:rPr>
          <w:rFonts w:ascii="Arial"/>
          <w:sz w:val="21"/>
        </w:rPr>
      </w:pPr>
    </w:p>
    <w:sectPr>
      <w:pgSz w:w="16837" w:h="11905"/>
      <w:pgMar w:top="400" w:right="777" w:bottom="400" w:left="7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F57BCE-7F00-484B-AE49-7ABD1B4F6802}"/>
  </w:font>
  <w:font w:name="黑体">
    <w:panose1 w:val="02010609060101010101"/>
    <w:charset w:val="86"/>
    <w:family w:val="auto"/>
    <w:pitch w:val="default"/>
    <w:sig w:usb0="800002BF" w:usb1="38CF7CFA" w:usb2="00000016" w:usb3="00000000" w:csb0="00040001" w:csb1="00000000"/>
    <w:embedRegular r:id="rId2" w:fontKey="{5D0C5863-ECB5-4FD3-BE95-B245F92853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0AB35D7-D525-4F6C-B7D1-3EF896575F69}"/>
  </w:font>
  <w:font w:name="仿宋">
    <w:panose1 w:val="02010609060101010101"/>
    <w:charset w:val="86"/>
    <w:family w:val="auto"/>
    <w:pitch w:val="default"/>
    <w:sig w:usb0="800002BF" w:usb1="38CF7CFA" w:usb2="00000016" w:usb3="00000000" w:csb0="00040001" w:csb1="00000000"/>
    <w:embedRegular r:id="rId4" w:fontKey="{2214B6AC-C44E-458F-880E-0ADD4E4138A7}"/>
  </w:font>
  <w:font w:name="方正小标宋简体">
    <w:panose1 w:val="02000000000000000000"/>
    <w:charset w:val="86"/>
    <w:family w:val="script"/>
    <w:pitch w:val="default"/>
    <w:sig w:usb0="00000001" w:usb1="08000000" w:usb2="00000000" w:usb3="00000000" w:csb0="00040000" w:csb1="00000000"/>
    <w:embedRegular r:id="rId5" w:fontKey="{779019C4-B370-4494-A6E2-6AA91085E402}"/>
  </w:font>
  <w:font w:name="Cambria">
    <w:panose1 w:val="02040503050406030204"/>
    <w:charset w:val="00"/>
    <w:family w:val="roman"/>
    <w:pitch w:val="default"/>
    <w:sig w:usb0="E00006FF" w:usb1="420024FF" w:usb2="02000000" w:usb3="00000000" w:csb0="2000019F" w:csb1="00000000"/>
    <w:embedRegular r:id="rId6" w:fontKey="{B2268289-6D8B-4F8A-AECF-C835003C9737}"/>
  </w:font>
  <w:font w:name="楷体_GB2312">
    <w:panose1 w:val="02010609030101010101"/>
    <w:charset w:val="86"/>
    <w:family w:val="modern"/>
    <w:pitch w:val="default"/>
    <w:sig w:usb0="00000001" w:usb1="080E0000" w:usb2="00000000" w:usb3="00000000" w:csb0="00040000" w:csb1="00000000"/>
    <w:embedRegular r:id="rId7" w:fontKey="{236B1F59-C63E-4EAB-8956-388DBB3FC022}"/>
  </w:font>
  <w:font w:name="楷体">
    <w:panose1 w:val="02010609060101010101"/>
    <w:charset w:val="86"/>
    <w:family w:val="auto"/>
    <w:pitch w:val="default"/>
    <w:sig w:usb0="800002BF" w:usb1="38CF7CFA" w:usb2="00000016" w:usb3="00000000" w:csb0="00040001" w:csb1="00000000"/>
    <w:embedRegular r:id="rId8" w:fontKey="{BE7A9847-3949-48D3-8130-27CE1C3D7D68}"/>
  </w:font>
  <w:font w:name="仿宋_GB2312">
    <w:panose1 w:val="02010609030101010101"/>
    <w:charset w:val="86"/>
    <w:family w:val="modern"/>
    <w:pitch w:val="default"/>
    <w:sig w:usb0="00000001" w:usb1="080E0000" w:usb2="00000000" w:usb3="00000000" w:csb0="00040000" w:csb1="00000000"/>
    <w:embedRegular r:id="rId9" w:fontKey="{4382EABC-B87C-46BF-BCA0-B9FA989264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cwZGU5NGUyZjBlZTZmYjU4MmZhNWQ4ODIzZWU3NDQifQ=="/>
  </w:docVars>
  <w:rsids>
    <w:rsidRoot w:val="00000000"/>
    <w:rsid w:val="03082F4B"/>
    <w:rsid w:val="0E71409B"/>
    <w:rsid w:val="0E981627"/>
    <w:rsid w:val="12031173"/>
    <w:rsid w:val="1B8E17B8"/>
    <w:rsid w:val="21894022"/>
    <w:rsid w:val="2580476C"/>
    <w:rsid w:val="260D5FFF"/>
    <w:rsid w:val="2C9F5E1F"/>
    <w:rsid w:val="2CEB696E"/>
    <w:rsid w:val="2E2C6BA8"/>
    <w:rsid w:val="384349F3"/>
    <w:rsid w:val="3C616320"/>
    <w:rsid w:val="3DAE1A1E"/>
    <w:rsid w:val="40436D96"/>
    <w:rsid w:val="41594A15"/>
    <w:rsid w:val="42022339"/>
    <w:rsid w:val="429D06E5"/>
    <w:rsid w:val="46E62229"/>
    <w:rsid w:val="5579070C"/>
    <w:rsid w:val="557B0928"/>
    <w:rsid w:val="611E782A"/>
    <w:rsid w:val="62F87114"/>
    <w:rsid w:val="6753700F"/>
    <w:rsid w:val="697E785D"/>
    <w:rsid w:val="6D082649"/>
    <w:rsid w:val="6D8E6FF3"/>
    <w:rsid w:val="7EC30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pPr>
    <w:rPr>
      <w:rFonts w:ascii="Calibri" w:hAnsi="Calibri" w:cs="Calibri"/>
    </w:rPr>
  </w:style>
  <w:style w:type="paragraph" w:styleId="3">
    <w:name w:val="Body Text"/>
    <w:basedOn w:val="1"/>
    <w:semiHidden/>
    <w:qFormat/>
    <w:uiPriority w:val="0"/>
    <w:rPr>
      <w:rFonts w:ascii="仿宋" w:hAnsi="仿宋" w:eastAsia="仿宋" w:cs="仿宋"/>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paragraph" w:styleId="8">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Office_12.1.0.15946_F1E327BC-269C-435d-A152-05C5408002CA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2023-10-07T15:13:00Z</dcterms:created>
  <dc:creator>111</dc:creator>
  <cp:lastModifiedBy>帅义</cp:lastModifiedBy>
  <dcterms:modified xsi:type="dcterms:W3CDTF">2024-01-04T08:43:51Z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2023-12-29T21:51:10Z</vt:filetime>
  </property>
  <property fmtid="{D5CDD505-2E9C-101B-9397-08002B2CF9AE}" pid="4" name="KSOProductBuildVer">
    <vt:lpwstr>2052-12.1.0.15946</vt:lpwstr>
  </property>
  <property fmtid="{D5CDD505-2E9C-101B-9397-08002B2CF9AE}" pid="5" name="ICV">
    <vt:lpwstr>D10955A2B5AC43C4AD0A6D295C2D65F5_13</vt:lpwstr>
  </property>
</Properties>
</file>