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225" w:lineRule="auto"/>
        <w:jc w:val="center"/>
        <w:outlineLvl w:val="0"/>
        <w:rPr>
          <w:rFonts w:ascii="黑体" w:hAnsi="黑体" w:eastAsia="黑体" w:cs="黑体"/>
          <w:color w:val="auto"/>
          <w:sz w:val="43"/>
          <w:szCs w:val="43"/>
        </w:rPr>
      </w:pPr>
      <w:r>
        <w:rPr>
          <w:rFonts w:hint="eastAsia" w:ascii="黑体" w:hAnsi="黑体" w:eastAsia="黑体" w:cs="黑体"/>
          <w:b/>
          <w:bCs/>
          <w:spacing w:val="4"/>
          <w:sz w:val="43"/>
          <w:szCs w:val="43"/>
        </w:rPr>
        <w:t>南</w:t>
      </w:r>
      <w:r>
        <w:rPr>
          <w:rFonts w:hint="eastAsia" w:ascii="黑体" w:hAnsi="黑体" w:eastAsia="黑体" w:cs="黑体"/>
          <w:b/>
          <w:bCs/>
          <w:color w:val="auto"/>
          <w:spacing w:val="4"/>
          <w:sz w:val="43"/>
          <w:szCs w:val="43"/>
        </w:rPr>
        <w:t>昌市新建</w:t>
      </w:r>
      <w:r>
        <w:rPr>
          <w:rFonts w:hint="eastAsia" w:ascii="黑体" w:hAnsi="黑体" w:eastAsia="黑体" w:cs="黑体"/>
          <w:b/>
          <w:bCs/>
          <w:color w:val="auto"/>
          <w:spacing w:val="4"/>
          <w:sz w:val="43"/>
          <w:szCs w:val="43"/>
          <w:lang w:eastAsia="zh-CN"/>
        </w:rPr>
        <w:t>经开区第二中心学校</w:t>
      </w:r>
      <w:r>
        <w:rPr>
          <w:rFonts w:hint="eastAsia" w:ascii="黑体" w:hAnsi="黑体" w:eastAsia="黑体" w:cs="黑体"/>
          <w:b/>
          <w:bCs/>
          <w:color w:val="auto"/>
          <w:spacing w:val="4"/>
          <w:sz w:val="43"/>
          <w:szCs w:val="43"/>
          <w:lang w:val="en-US" w:eastAsia="zh-CN"/>
        </w:rPr>
        <w:t>2024</w:t>
      </w:r>
      <w:r>
        <w:rPr>
          <w:rFonts w:ascii="黑体" w:hAnsi="黑体" w:eastAsia="黑体" w:cs="黑体"/>
          <w:b/>
          <w:bCs/>
          <w:color w:val="auto"/>
          <w:spacing w:val="4"/>
          <w:sz w:val="43"/>
          <w:szCs w:val="43"/>
        </w:rPr>
        <w:t>年单位预算</w:t>
      </w:r>
    </w:p>
    <w:p>
      <w:pPr>
        <w:spacing w:line="340" w:lineRule="auto"/>
        <w:rPr>
          <w:rFonts w:ascii="Arial"/>
          <w:color w:val="auto"/>
          <w:sz w:val="21"/>
        </w:rPr>
      </w:pPr>
    </w:p>
    <w:p>
      <w:pPr>
        <w:spacing w:line="340" w:lineRule="auto"/>
        <w:rPr>
          <w:rFonts w:ascii="Arial"/>
          <w:color w:val="auto"/>
          <w:sz w:val="21"/>
        </w:rPr>
      </w:pPr>
    </w:p>
    <w:p>
      <w:pPr>
        <w:spacing w:before="139" w:line="225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pacing w:val="4"/>
          <w:sz w:val="43"/>
          <w:szCs w:val="43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4"/>
          <w:sz w:val="43"/>
          <w:szCs w:val="43"/>
          <w:lang w:eastAsia="zh-CN"/>
        </w:rPr>
        <w:t>目    录</w:t>
      </w:r>
      <w:bookmarkStart w:id="0" w:name="_GoBack"/>
      <w:bookmarkEnd w:id="0"/>
    </w:p>
    <w:p>
      <w:pPr>
        <w:spacing w:line="452" w:lineRule="auto"/>
        <w:rPr>
          <w:rFonts w:ascii="Arial"/>
          <w:color w:val="auto"/>
          <w:sz w:val="21"/>
        </w:rPr>
      </w:pPr>
    </w:p>
    <w:p>
      <w:pPr>
        <w:pStyle w:val="2"/>
        <w:spacing w:before="101" w:line="221" w:lineRule="auto"/>
        <w:ind w:left="683"/>
        <w:rPr>
          <w:color w:val="auto"/>
        </w:rPr>
      </w:pPr>
      <w:r>
        <w:rPr>
          <w:b/>
          <w:bCs/>
          <w:color w:val="auto"/>
        </w:rPr>
        <w:t>第一部分</w:t>
      </w:r>
      <w:r>
        <w:rPr>
          <w:color w:val="auto"/>
          <w:spacing w:val="24"/>
        </w:rPr>
        <w:t xml:space="preserve">  </w:t>
      </w:r>
      <w:r>
        <w:rPr>
          <w:b/>
          <w:bCs/>
          <w:color w:val="auto"/>
        </w:rPr>
        <w:t>单位概况</w:t>
      </w:r>
    </w:p>
    <w:p>
      <w:pPr>
        <w:pStyle w:val="2"/>
        <w:spacing w:before="253" w:line="221" w:lineRule="auto"/>
        <w:ind w:left="1325"/>
        <w:rPr>
          <w:color w:val="auto"/>
        </w:rPr>
      </w:pPr>
      <w:r>
        <w:rPr>
          <w:color w:val="auto"/>
          <w:spacing w:val="5"/>
        </w:rPr>
        <w:t>一、单位主要职责</w:t>
      </w:r>
    </w:p>
    <w:p>
      <w:pPr>
        <w:pStyle w:val="2"/>
        <w:spacing w:before="253" w:line="222" w:lineRule="auto"/>
        <w:ind w:left="1323"/>
        <w:rPr>
          <w:color w:val="auto"/>
        </w:rPr>
      </w:pPr>
      <w:r>
        <w:rPr>
          <w:color w:val="auto"/>
          <w:spacing w:val="7"/>
        </w:rPr>
        <w:t>二、机构设置及人员情况</w:t>
      </w:r>
    </w:p>
    <w:p>
      <w:pPr>
        <w:pStyle w:val="2"/>
        <w:spacing w:before="251" w:line="221" w:lineRule="auto"/>
        <w:ind w:left="683"/>
        <w:rPr>
          <w:color w:val="auto"/>
        </w:rPr>
      </w:pPr>
      <w:r>
        <w:rPr>
          <w:b/>
          <w:bCs/>
          <w:color w:val="auto"/>
          <w:spacing w:val="4"/>
        </w:rPr>
        <w:t>第二部分</w:t>
      </w:r>
      <w:r>
        <w:rPr>
          <w:color w:val="auto"/>
          <w:spacing w:val="4"/>
        </w:rPr>
        <w:t xml:space="preserve">  </w:t>
      </w:r>
      <w:r>
        <w:rPr>
          <w:rFonts w:hint="eastAsia"/>
          <w:b/>
          <w:bCs/>
          <w:color w:val="auto"/>
          <w:lang w:val="en-US" w:eastAsia="zh-CN"/>
        </w:rPr>
        <w:t>2024</w:t>
      </w:r>
      <w:r>
        <w:rPr>
          <w:b/>
          <w:bCs/>
          <w:color w:val="auto"/>
          <w:spacing w:val="4"/>
        </w:rPr>
        <w:t>年单位预算表</w:t>
      </w:r>
    </w:p>
    <w:p>
      <w:pPr>
        <w:pStyle w:val="2"/>
        <w:spacing w:before="253" w:line="624" w:lineRule="exact"/>
        <w:ind w:left="1325"/>
        <w:rPr>
          <w:color w:val="auto"/>
        </w:rPr>
      </w:pPr>
      <w:r>
        <w:rPr>
          <w:color w:val="auto"/>
          <w:spacing w:val="-10"/>
          <w:position w:val="23"/>
        </w:rPr>
        <w:t>一、《收支预算总表》</w:t>
      </w:r>
    </w:p>
    <w:p>
      <w:pPr>
        <w:pStyle w:val="2"/>
        <w:spacing w:line="221" w:lineRule="auto"/>
        <w:ind w:left="1323"/>
        <w:rPr>
          <w:color w:val="auto"/>
        </w:rPr>
      </w:pPr>
      <w:r>
        <w:rPr>
          <w:color w:val="auto"/>
          <w:spacing w:val="-10"/>
        </w:rPr>
        <w:t>二、《单位收入总表》</w:t>
      </w:r>
    </w:p>
    <w:p>
      <w:pPr>
        <w:pStyle w:val="2"/>
        <w:spacing w:before="253" w:line="221" w:lineRule="auto"/>
        <w:ind w:left="1329"/>
        <w:rPr>
          <w:color w:val="auto"/>
        </w:rPr>
      </w:pPr>
      <w:r>
        <w:rPr>
          <w:color w:val="auto"/>
          <w:spacing w:val="-11"/>
        </w:rPr>
        <w:t>三、《单位支出总表》</w:t>
      </w:r>
    </w:p>
    <w:p>
      <w:pPr>
        <w:pStyle w:val="2"/>
        <w:spacing w:before="253" w:line="223" w:lineRule="auto"/>
        <w:ind w:left="1343"/>
        <w:rPr>
          <w:color w:val="auto"/>
        </w:rPr>
      </w:pPr>
      <w:r>
        <w:rPr>
          <w:color w:val="auto"/>
          <w:spacing w:val="-8"/>
        </w:rPr>
        <w:t>四、《财政拨款收支总表》</w:t>
      </w:r>
    </w:p>
    <w:p>
      <w:pPr>
        <w:pStyle w:val="2"/>
        <w:spacing w:before="249" w:line="222" w:lineRule="auto"/>
        <w:ind w:left="1316"/>
        <w:rPr>
          <w:color w:val="auto"/>
        </w:rPr>
      </w:pPr>
      <w:r>
        <w:rPr>
          <w:color w:val="auto"/>
          <w:spacing w:val="-5"/>
        </w:rPr>
        <w:t>五、《一般公共预算支出表》</w:t>
      </w:r>
    </w:p>
    <w:p>
      <w:pPr>
        <w:pStyle w:val="2"/>
        <w:spacing w:before="251" w:line="222" w:lineRule="auto"/>
        <w:ind w:left="1319"/>
        <w:rPr>
          <w:color w:val="auto"/>
        </w:rPr>
      </w:pPr>
      <w:r>
        <w:rPr>
          <w:color w:val="auto"/>
          <w:spacing w:val="-3"/>
        </w:rPr>
        <w:t>六、《一般公共预算基本支出表》</w:t>
      </w:r>
    </w:p>
    <w:p>
      <w:pPr>
        <w:pStyle w:val="2"/>
        <w:spacing w:before="252" w:line="223" w:lineRule="auto"/>
        <w:ind w:left="1313"/>
        <w:rPr>
          <w:color w:val="auto"/>
        </w:rPr>
      </w:pPr>
      <w:r>
        <w:rPr>
          <w:color w:val="auto"/>
          <w:spacing w:val="-7"/>
        </w:rPr>
        <w:t>七、《财政拨款</w:t>
      </w:r>
      <w:r>
        <w:rPr>
          <w:color w:val="auto"/>
          <w:spacing w:val="-89"/>
        </w:rPr>
        <w:t xml:space="preserve"> </w:t>
      </w:r>
      <w:r>
        <w:rPr>
          <w:color w:val="auto"/>
          <w:spacing w:val="-7"/>
        </w:rPr>
        <w:t>“</w:t>
      </w:r>
      <w:r>
        <w:rPr>
          <w:color w:val="auto"/>
          <w:spacing w:val="-118"/>
        </w:rPr>
        <w:t xml:space="preserve"> </w:t>
      </w:r>
      <w:r>
        <w:rPr>
          <w:color w:val="auto"/>
          <w:spacing w:val="-7"/>
        </w:rPr>
        <w:t>三公”经费支出表》</w:t>
      </w:r>
    </w:p>
    <w:p>
      <w:pPr>
        <w:pStyle w:val="2"/>
        <w:spacing w:before="249" w:line="220" w:lineRule="auto"/>
        <w:ind w:left="1312"/>
        <w:rPr>
          <w:color w:val="auto"/>
        </w:rPr>
      </w:pPr>
      <w:r>
        <w:rPr>
          <w:color w:val="auto"/>
          <w:spacing w:val="-4"/>
        </w:rPr>
        <w:t>八、《政府性基金预算支出表》</w:t>
      </w:r>
    </w:p>
    <w:p>
      <w:pPr>
        <w:pStyle w:val="2"/>
        <w:spacing w:before="255" w:line="624" w:lineRule="exact"/>
        <w:ind w:left="1309"/>
        <w:rPr>
          <w:color w:val="auto"/>
        </w:rPr>
      </w:pPr>
      <w:r>
        <w:rPr>
          <w:color w:val="auto"/>
          <w:spacing w:val="-3"/>
          <w:position w:val="23"/>
        </w:rPr>
        <w:t>九、《国有资本经营预算支出表》</w:t>
      </w:r>
    </w:p>
    <w:p>
      <w:pPr>
        <w:pStyle w:val="2"/>
        <w:spacing w:line="222" w:lineRule="auto"/>
        <w:ind w:left="1319"/>
        <w:rPr>
          <w:color w:val="auto"/>
        </w:rPr>
      </w:pPr>
      <w:r>
        <w:rPr>
          <w:color w:val="auto"/>
          <w:spacing w:val="-8"/>
        </w:rPr>
        <w:t>十、《项目绩效目标表》</w:t>
      </w:r>
    </w:p>
    <w:p>
      <w:pPr>
        <w:pStyle w:val="2"/>
        <w:spacing w:before="251" w:line="221" w:lineRule="auto"/>
        <w:ind w:left="683"/>
        <w:rPr>
          <w:color w:val="auto"/>
        </w:rPr>
      </w:pPr>
      <w:r>
        <w:rPr>
          <w:b/>
          <w:bCs/>
          <w:color w:val="auto"/>
          <w:spacing w:val="5"/>
        </w:rPr>
        <w:t>第三部分</w:t>
      </w:r>
      <w:r>
        <w:rPr>
          <w:color w:val="auto"/>
          <w:spacing w:val="5"/>
        </w:rPr>
        <w:t xml:space="preserve"> </w:t>
      </w:r>
      <w:r>
        <w:rPr>
          <w:color w:val="auto"/>
          <w:spacing w:val="4"/>
        </w:rPr>
        <w:t xml:space="preserve"> </w:t>
      </w:r>
      <w:r>
        <w:rPr>
          <w:rFonts w:hint="eastAsia"/>
          <w:b/>
          <w:bCs/>
          <w:color w:val="auto"/>
          <w:lang w:val="en-US" w:eastAsia="zh-CN"/>
        </w:rPr>
        <w:t>2024</w:t>
      </w:r>
      <w:r>
        <w:rPr>
          <w:b/>
          <w:bCs/>
          <w:color w:val="auto"/>
          <w:spacing w:val="5"/>
        </w:rPr>
        <w:t>年单位预算情况说明</w:t>
      </w:r>
    </w:p>
    <w:p>
      <w:pPr>
        <w:pStyle w:val="2"/>
        <w:spacing w:before="253" w:line="221" w:lineRule="auto"/>
        <w:ind w:left="1325"/>
        <w:rPr>
          <w:color w:val="auto"/>
        </w:rPr>
      </w:pPr>
      <w:r>
        <w:rPr>
          <w:color w:val="auto"/>
          <w:spacing w:val="7"/>
        </w:rPr>
        <w:t>一、</w:t>
      </w:r>
      <w:r>
        <w:rPr>
          <w:rFonts w:hint="eastAsia"/>
          <w:color w:val="auto"/>
          <w:spacing w:val="7"/>
          <w:lang w:val="en-US" w:eastAsia="zh-CN"/>
        </w:rPr>
        <w:t>2024</w:t>
      </w:r>
      <w:r>
        <w:rPr>
          <w:color w:val="auto"/>
          <w:spacing w:val="7"/>
        </w:rPr>
        <w:t>年单位预算收支情况说明</w:t>
      </w:r>
    </w:p>
    <w:p>
      <w:pPr>
        <w:pStyle w:val="2"/>
        <w:spacing w:before="252" w:line="222" w:lineRule="auto"/>
        <w:ind w:left="1323"/>
        <w:rPr>
          <w:color w:val="auto"/>
        </w:rPr>
      </w:pPr>
      <w:r>
        <w:rPr>
          <w:color w:val="auto"/>
          <w:spacing w:val="2"/>
        </w:rPr>
        <w:t>二、</w:t>
      </w:r>
      <w:r>
        <w:rPr>
          <w:rFonts w:hint="eastAsia"/>
          <w:color w:val="auto"/>
          <w:spacing w:val="2"/>
          <w:lang w:val="en-US" w:eastAsia="zh-CN"/>
        </w:rPr>
        <w:t>2024</w:t>
      </w:r>
      <w:r>
        <w:rPr>
          <w:color w:val="auto"/>
          <w:spacing w:val="2"/>
        </w:rPr>
        <w:t>年</w:t>
      </w:r>
      <w:r>
        <w:rPr>
          <w:color w:val="auto"/>
          <w:spacing w:val="-98"/>
        </w:rPr>
        <w:t xml:space="preserve"> </w:t>
      </w:r>
      <w:r>
        <w:rPr>
          <w:color w:val="auto"/>
          <w:spacing w:val="2"/>
        </w:rPr>
        <w:t>“</w:t>
      </w:r>
      <w:r>
        <w:rPr>
          <w:color w:val="auto"/>
          <w:spacing w:val="-119"/>
        </w:rPr>
        <w:t xml:space="preserve"> </w:t>
      </w:r>
      <w:r>
        <w:rPr>
          <w:color w:val="auto"/>
          <w:spacing w:val="2"/>
        </w:rPr>
        <w:t>三公”经费预算情况说明</w:t>
      </w:r>
    </w:p>
    <w:p>
      <w:pPr>
        <w:spacing w:line="256" w:lineRule="auto"/>
        <w:rPr>
          <w:rFonts w:ascii="Arial"/>
          <w:color w:val="auto"/>
          <w:sz w:val="21"/>
        </w:rPr>
      </w:pPr>
    </w:p>
    <w:p>
      <w:pPr>
        <w:spacing w:line="257" w:lineRule="auto"/>
        <w:rPr>
          <w:rFonts w:ascii="Arial"/>
          <w:color w:val="auto"/>
          <w:sz w:val="21"/>
        </w:rPr>
      </w:pPr>
    </w:p>
    <w:p>
      <w:pPr>
        <w:spacing w:line="257" w:lineRule="auto"/>
        <w:rPr>
          <w:rFonts w:ascii="Arial"/>
          <w:color w:val="auto"/>
          <w:sz w:val="21"/>
        </w:rPr>
      </w:pPr>
    </w:p>
    <w:p>
      <w:pPr>
        <w:pStyle w:val="2"/>
        <w:spacing w:before="102" w:line="222" w:lineRule="auto"/>
        <w:ind w:left="683"/>
        <w:rPr>
          <w:color w:val="auto"/>
        </w:rPr>
      </w:pPr>
      <w:r>
        <w:rPr>
          <w:b/>
          <w:bCs/>
          <w:color w:val="auto"/>
          <w:spacing w:val="4"/>
        </w:rPr>
        <w:t>第四部分</w:t>
      </w:r>
      <w:r>
        <w:rPr>
          <w:color w:val="auto"/>
          <w:spacing w:val="4"/>
        </w:rPr>
        <w:t xml:space="preserve">  </w:t>
      </w:r>
      <w:r>
        <w:rPr>
          <w:b/>
          <w:bCs/>
          <w:color w:val="auto"/>
          <w:spacing w:val="4"/>
        </w:rPr>
        <w:t>名词解释</w:t>
      </w:r>
    </w:p>
    <w:p>
      <w:pPr>
        <w:spacing w:line="222" w:lineRule="auto"/>
        <w:rPr>
          <w:color w:val="auto"/>
        </w:rPr>
        <w:sectPr>
          <w:pgSz w:w="11906" w:h="16839"/>
          <w:pgMar w:top="400" w:right="1785" w:bottom="400" w:left="1785" w:header="0" w:footer="0" w:gutter="0"/>
          <w:cols w:space="720" w:num="1"/>
        </w:sectPr>
      </w:pPr>
    </w:p>
    <w:p>
      <w:pPr>
        <w:spacing w:line="280" w:lineRule="auto"/>
        <w:rPr>
          <w:rFonts w:ascii="Arial"/>
          <w:color w:val="auto"/>
          <w:sz w:val="21"/>
        </w:rPr>
      </w:pPr>
    </w:p>
    <w:p>
      <w:pPr>
        <w:spacing w:line="281" w:lineRule="auto"/>
        <w:rPr>
          <w:rFonts w:ascii="Arial"/>
          <w:color w:val="auto"/>
          <w:sz w:val="21"/>
        </w:rPr>
      </w:pPr>
    </w:p>
    <w:p>
      <w:pPr>
        <w:spacing w:line="281" w:lineRule="auto"/>
        <w:rPr>
          <w:rFonts w:ascii="Arial"/>
          <w:color w:val="auto"/>
          <w:sz w:val="21"/>
        </w:rPr>
      </w:pPr>
    </w:p>
    <w:p>
      <w:pPr>
        <w:spacing w:line="281" w:lineRule="auto"/>
        <w:rPr>
          <w:rFonts w:ascii="Arial"/>
          <w:color w:val="auto"/>
          <w:sz w:val="21"/>
        </w:rPr>
      </w:pPr>
    </w:p>
    <w:p>
      <w:pPr>
        <w:pStyle w:val="2"/>
        <w:spacing w:before="101" w:line="221" w:lineRule="auto"/>
        <w:jc w:val="center"/>
        <w:rPr>
          <w:color w:val="auto"/>
        </w:rPr>
      </w:pPr>
      <w:r>
        <w:rPr>
          <w:b/>
          <w:bCs/>
          <w:color w:val="auto"/>
        </w:rPr>
        <w:t>第一部分</w:t>
      </w:r>
      <w:r>
        <w:rPr>
          <w:color w:val="auto"/>
          <w:spacing w:val="24"/>
        </w:rPr>
        <w:t xml:space="preserve">  </w:t>
      </w:r>
      <w:r>
        <w:rPr>
          <w:rFonts w:hint="eastAsia"/>
          <w:b/>
          <w:bCs/>
          <w:color w:val="auto"/>
        </w:rPr>
        <w:t>南昌市新建</w:t>
      </w:r>
      <w:r>
        <w:rPr>
          <w:rFonts w:hint="eastAsia"/>
          <w:b/>
          <w:bCs/>
          <w:color w:val="auto"/>
          <w:lang w:eastAsia="zh-CN"/>
        </w:rPr>
        <w:t>经开区第二中心学校单位</w:t>
      </w:r>
      <w:r>
        <w:rPr>
          <w:b/>
          <w:bCs/>
          <w:color w:val="auto"/>
        </w:rPr>
        <w:t>概况</w:t>
      </w:r>
    </w:p>
    <w:p>
      <w:pPr>
        <w:spacing w:line="342" w:lineRule="auto"/>
        <w:rPr>
          <w:rFonts w:ascii="Arial"/>
          <w:color w:val="auto"/>
          <w:sz w:val="21"/>
        </w:rPr>
      </w:pPr>
    </w:p>
    <w:p>
      <w:pPr>
        <w:spacing w:line="343" w:lineRule="auto"/>
        <w:rPr>
          <w:rFonts w:ascii="Arial"/>
          <w:color w:val="auto"/>
          <w:sz w:val="21"/>
        </w:rPr>
      </w:pPr>
    </w:p>
    <w:p>
      <w:pPr>
        <w:spacing w:before="101" w:line="221" w:lineRule="auto"/>
        <w:ind w:left="30" w:firstLine="642" w:firstLineChars="200"/>
        <w:rPr>
          <w:rFonts w:ascii="楷体" w:hAnsi="楷体" w:eastAsia="楷体" w:cs="楷体"/>
          <w:color w:val="auto"/>
          <w:sz w:val="31"/>
          <w:szCs w:val="31"/>
        </w:rPr>
      </w:pPr>
      <w:r>
        <w:rPr>
          <w:rFonts w:ascii="楷体" w:hAnsi="楷体" w:eastAsia="楷体" w:cs="楷体"/>
          <w:b/>
          <w:bCs/>
          <w:color w:val="auto"/>
          <w:spacing w:val="5"/>
          <w:sz w:val="31"/>
          <w:szCs w:val="31"/>
        </w:rPr>
        <w:t>一、单位主要职责</w:t>
      </w:r>
    </w:p>
    <w:p>
      <w:pPr>
        <w:spacing w:line="560" w:lineRule="exact"/>
        <w:ind w:firstLine="600" w:firstLineChars="200"/>
        <w:rPr>
          <w:rFonts w:hint="eastAsia"/>
          <w:color w:val="auto"/>
          <w:kern w:val="1"/>
          <w:sz w:val="28"/>
          <w:szCs w:val="28"/>
        </w:rPr>
      </w:pPr>
      <w:r>
        <w:rPr>
          <w:rFonts w:hint="eastAsia" w:eastAsia="仿宋_GB2312"/>
          <w:color w:val="auto"/>
          <w:sz w:val="30"/>
          <w:szCs w:val="30"/>
        </w:rPr>
        <w:t>南昌市新建</w:t>
      </w:r>
      <w:r>
        <w:rPr>
          <w:rFonts w:hint="eastAsia" w:eastAsia="仿宋_GB2312"/>
          <w:color w:val="auto"/>
          <w:sz w:val="30"/>
          <w:szCs w:val="30"/>
          <w:lang w:eastAsia="zh-CN"/>
        </w:rPr>
        <w:t>经开区第二中心学校</w:t>
      </w:r>
      <w:r>
        <w:rPr>
          <w:rFonts w:hint="eastAsia" w:eastAsia="仿宋_GB2312"/>
          <w:color w:val="auto"/>
          <w:sz w:val="30"/>
          <w:szCs w:val="30"/>
        </w:rPr>
        <w:t>实施义务教育，促进基础教育发展</w:t>
      </w:r>
      <w:r>
        <w:rPr>
          <w:rFonts w:hint="eastAsia" w:eastAsia="仿宋_GB2312"/>
          <w:color w:val="auto"/>
          <w:sz w:val="30"/>
          <w:szCs w:val="30"/>
          <w:lang w:eastAsia="zh-CN"/>
        </w:rPr>
        <w:t>，</w:t>
      </w:r>
      <w:r>
        <w:rPr>
          <w:rFonts w:hint="eastAsia"/>
          <w:color w:val="auto"/>
          <w:kern w:val="1"/>
          <w:sz w:val="28"/>
          <w:szCs w:val="28"/>
        </w:rPr>
        <w:t>全面贯彻执行国家的教育方针、政策及国家相关的法律法规；</w:t>
      </w:r>
      <w:r>
        <w:rPr>
          <w:rFonts w:ascii="Times New Roman" w:hAnsi="Times New Roman"/>
          <w:color w:val="auto"/>
          <w:kern w:val="1"/>
          <w:sz w:val="28"/>
          <w:szCs w:val="28"/>
        </w:rPr>
        <w:t> </w:t>
      </w:r>
      <w:r>
        <w:rPr>
          <w:color w:val="auto"/>
          <w:kern w:val="1"/>
          <w:sz w:val="28"/>
          <w:szCs w:val="28"/>
        </w:rPr>
        <w:t>实施素质教育，按照规定标准完成教育教学任务，保证教育教学质量；加强安全和后勤服务工作，为教育教学提供保障</w:t>
      </w:r>
      <w:r>
        <w:rPr>
          <w:rFonts w:hint="eastAsia"/>
          <w:color w:val="auto"/>
          <w:kern w:val="1"/>
          <w:sz w:val="28"/>
          <w:szCs w:val="28"/>
        </w:rPr>
        <w:t>。</w:t>
      </w:r>
    </w:p>
    <w:p>
      <w:pPr>
        <w:spacing w:before="101" w:line="221" w:lineRule="auto"/>
        <w:ind w:left="30" w:firstLine="642" w:firstLineChars="200"/>
        <w:rPr>
          <w:rFonts w:hint="eastAsia" w:ascii="楷体" w:hAnsi="楷体" w:eastAsia="楷体" w:cs="楷体"/>
          <w:b/>
          <w:bCs/>
          <w:color w:val="auto"/>
          <w:spacing w:val="5"/>
          <w:sz w:val="31"/>
          <w:szCs w:val="31"/>
        </w:rPr>
      </w:pPr>
      <w:r>
        <w:rPr>
          <w:rFonts w:hint="eastAsia" w:ascii="楷体" w:hAnsi="楷体" w:eastAsia="楷体" w:cs="楷体"/>
          <w:b/>
          <w:bCs/>
          <w:color w:val="auto"/>
          <w:spacing w:val="5"/>
          <w:sz w:val="31"/>
          <w:szCs w:val="31"/>
        </w:rPr>
        <w:t>二、机构设置及人员情况</w:t>
      </w:r>
    </w:p>
    <w:p>
      <w:pPr>
        <w:spacing w:line="560" w:lineRule="exact"/>
        <w:ind w:firstLine="644" w:firstLineChars="200"/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zh-CN" w:bidi="ar-SA"/>
        </w:rPr>
        <w:t>2024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en-US" w:bidi="ar-SA"/>
        </w:rPr>
        <w:t>年南昌市新建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zh-CN" w:bidi="ar-SA"/>
        </w:rPr>
        <w:t>经开区第二中心学校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en-US" w:bidi="ar-SA"/>
        </w:rPr>
        <w:t>单位内设处室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zh-CN" w:bidi="ar-SA"/>
        </w:rPr>
        <w:t>0个 。</w:t>
      </w:r>
    </w:p>
    <w:p>
      <w:pPr>
        <w:spacing w:line="560" w:lineRule="exact"/>
        <w:ind w:firstLine="644" w:firstLineChars="200"/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en-US" w:bidi="ar-SA"/>
        </w:rPr>
        <w:t>编制人数小计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zh-CN" w:bidi="ar-SA"/>
        </w:rPr>
        <w:t>63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en-US" w:bidi="ar-SA"/>
        </w:rPr>
        <w:t>人,其中：行政编制人数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zh-CN" w:bidi="ar-SA"/>
        </w:rPr>
        <w:t>0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en-US" w:bidi="ar-SA"/>
        </w:rPr>
        <w:t>人,全部补助 事业编制人数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zh-CN" w:bidi="ar-SA"/>
        </w:rPr>
        <w:t>63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en-US" w:bidi="ar-SA"/>
        </w:rPr>
        <w:t>人,部分补助事业编制人数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zh-CN" w:bidi="ar-SA"/>
        </w:rPr>
        <w:t>0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en-US" w:bidi="ar-SA"/>
        </w:rPr>
        <w:t>人。 实有人数 小计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zh-CN" w:bidi="ar-SA"/>
        </w:rPr>
        <w:t>91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en-US" w:bidi="ar-SA"/>
        </w:rPr>
        <w:t>人,其中：在职人数小计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zh-CN" w:bidi="ar-SA"/>
        </w:rPr>
        <w:t>63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en-US" w:bidi="ar-SA"/>
        </w:rPr>
        <w:t>人,行政在职人数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zh-CN" w:bidi="ar-SA"/>
        </w:rPr>
        <w:t>0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en-US" w:bidi="ar-SA"/>
        </w:rPr>
        <w:t>人,全 部补助事业在职人数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zh-CN" w:bidi="ar-SA"/>
        </w:rPr>
        <w:t>63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en-US" w:bidi="ar-SA"/>
        </w:rPr>
        <w:t>人,部分补助事业在职人数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zh-CN" w:bidi="ar-SA"/>
        </w:rPr>
        <w:t>0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en-US" w:bidi="ar-SA"/>
        </w:rPr>
        <w:t>人。 离休人数小计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zh-CN" w:bidi="ar-SA"/>
        </w:rPr>
        <w:t>0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en-US" w:bidi="ar-SA"/>
        </w:rPr>
        <w:t>人,退休人数小计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zh-CN" w:bidi="ar-SA"/>
        </w:rPr>
        <w:t>28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en-US" w:bidi="ar-SA"/>
        </w:rPr>
        <w:t>人,遗属人数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zh-CN" w:bidi="ar-SA"/>
        </w:rPr>
        <w:t>0</w:t>
      </w:r>
      <w:r>
        <w:rPr>
          <w:rFonts w:hint="eastAsia" w:ascii="仿宋" w:hAnsi="仿宋" w:eastAsia="仿宋" w:cs="仿宋"/>
          <w:snapToGrid w:val="0"/>
          <w:color w:val="auto"/>
          <w:spacing w:val="6"/>
          <w:kern w:val="0"/>
          <w:sz w:val="31"/>
          <w:szCs w:val="31"/>
          <w:lang w:val="en-US" w:eastAsia="en-US" w:bidi="ar-SA"/>
        </w:rPr>
        <w:t>人。</w:t>
      </w:r>
    </w:p>
    <w:p>
      <w:pPr>
        <w:pStyle w:val="3"/>
        <w:ind w:left="0" w:leftChars="0" w:firstLine="0" w:firstLineChars="0"/>
        <w:rPr>
          <w:rFonts w:ascii="Arial"/>
          <w:color w:val="auto"/>
          <w:sz w:val="21"/>
        </w:rPr>
      </w:pPr>
    </w:p>
    <w:p>
      <w:pPr>
        <w:pStyle w:val="3"/>
        <w:rPr>
          <w:rFonts w:ascii="Arial"/>
          <w:color w:val="auto"/>
          <w:sz w:val="21"/>
        </w:rPr>
      </w:pPr>
    </w:p>
    <w:p>
      <w:pPr>
        <w:spacing w:line="269" w:lineRule="auto"/>
        <w:rPr>
          <w:rFonts w:ascii="Arial"/>
          <w:color w:val="auto"/>
          <w:sz w:val="21"/>
        </w:rPr>
      </w:pPr>
    </w:p>
    <w:p>
      <w:pPr>
        <w:pStyle w:val="2"/>
        <w:spacing w:before="101" w:line="221" w:lineRule="auto"/>
        <w:jc w:val="center"/>
        <w:rPr>
          <w:color w:val="auto"/>
        </w:rPr>
      </w:pPr>
      <w:r>
        <w:rPr>
          <w:b/>
          <w:bCs/>
          <w:color w:val="auto"/>
          <w:spacing w:val="4"/>
        </w:rPr>
        <w:t>第二部分</w:t>
      </w:r>
      <w:r>
        <w:rPr>
          <w:color w:val="auto"/>
          <w:spacing w:val="4"/>
        </w:rPr>
        <w:t xml:space="preserve">  </w:t>
      </w:r>
      <w:r>
        <w:rPr>
          <w:rFonts w:hint="eastAsia"/>
          <w:b/>
          <w:bCs/>
          <w:color w:val="auto"/>
        </w:rPr>
        <w:t>南昌市新建</w:t>
      </w:r>
      <w:r>
        <w:rPr>
          <w:rFonts w:hint="eastAsia"/>
          <w:b/>
          <w:bCs/>
          <w:color w:val="auto"/>
          <w:lang w:eastAsia="zh-CN"/>
        </w:rPr>
        <w:t>经开区第二中心学校</w:t>
      </w:r>
      <w:r>
        <w:rPr>
          <w:rFonts w:hint="eastAsia"/>
          <w:b/>
          <w:bCs/>
          <w:color w:val="auto"/>
          <w:spacing w:val="4"/>
          <w:lang w:val="en-US" w:eastAsia="zh-CN"/>
        </w:rPr>
        <w:t>2024</w:t>
      </w:r>
      <w:r>
        <w:rPr>
          <w:b/>
          <w:bCs/>
          <w:color w:val="auto"/>
          <w:spacing w:val="4"/>
        </w:rPr>
        <w:t>年单位预算表</w:t>
      </w:r>
    </w:p>
    <w:p>
      <w:pPr>
        <w:pStyle w:val="2"/>
        <w:spacing w:before="171" w:line="226" w:lineRule="auto"/>
        <w:ind w:left="680"/>
        <w:rPr>
          <w:color w:val="auto"/>
        </w:rPr>
      </w:pPr>
      <w:r>
        <w:rPr>
          <w:color w:val="auto"/>
          <w:spacing w:val="3"/>
        </w:rPr>
        <w:t>（详见附表）</w:t>
      </w:r>
    </w:p>
    <w:p>
      <w:pPr>
        <w:spacing w:line="255" w:lineRule="auto"/>
        <w:rPr>
          <w:rFonts w:ascii="Arial"/>
          <w:color w:val="auto"/>
          <w:sz w:val="21"/>
        </w:rPr>
      </w:pPr>
    </w:p>
    <w:p>
      <w:pPr>
        <w:spacing w:line="255" w:lineRule="auto"/>
        <w:rPr>
          <w:rFonts w:ascii="Arial"/>
          <w:color w:val="auto"/>
          <w:sz w:val="21"/>
        </w:rPr>
      </w:pPr>
    </w:p>
    <w:p>
      <w:pPr>
        <w:pStyle w:val="2"/>
        <w:widowControl w:val="0"/>
        <w:kinsoku/>
        <w:overflowPunct w:val="0"/>
        <w:topLinePunct/>
        <w:autoSpaceDE/>
        <w:autoSpaceDN/>
        <w:spacing w:line="560" w:lineRule="exact"/>
        <w:ind w:firstLine="729"/>
        <w:jc w:val="both"/>
        <w:rPr>
          <w:rFonts w:ascii="Times New Roman" w:hAnsi="Times New Roman" w:eastAsia="仿宋_GB2312" w:cs="Times New Roman"/>
          <w:snapToGrid/>
          <w:color w:val="auto"/>
          <w:kern w:val="21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napToGrid/>
          <w:color w:val="auto"/>
          <w:kern w:val="21"/>
          <w:sz w:val="32"/>
          <w:szCs w:val="32"/>
          <w:lang w:eastAsia="zh-CN"/>
        </w:rPr>
        <w:t>（注：①由于本说明中数据四舍五入原因，部分汇总数据与分项加总之和可能存在尾差；②表格详见附件，若其中某张表表中数据为0,</w:t>
      </w:r>
      <w:r>
        <w:rPr>
          <w:rFonts w:hint="eastAsia" w:ascii="Times New Roman" w:hAnsi="Times New Roman" w:eastAsia="仿宋_GB2312" w:cs="Times New Roman"/>
          <w:snapToGrid/>
          <w:color w:val="auto"/>
          <w:kern w:val="21"/>
          <w:sz w:val="32"/>
          <w:szCs w:val="32"/>
          <w:lang w:eastAsia="zh-CN"/>
        </w:rPr>
        <w:t>则</w:t>
      </w:r>
      <w:r>
        <w:rPr>
          <w:rFonts w:ascii="Times New Roman" w:hAnsi="Times New Roman" w:eastAsia="仿宋_GB2312" w:cs="Times New Roman"/>
          <w:snapToGrid/>
          <w:color w:val="auto"/>
          <w:kern w:val="21"/>
          <w:sz w:val="32"/>
          <w:szCs w:val="32"/>
          <w:lang w:eastAsia="zh-CN"/>
        </w:rPr>
        <w:t>没有相关收支预算安排。）</w:t>
      </w:r>
    </w:p>
    <w:p>
      <w:pPr>
        <w:pStyle w:val="3"/>
        <w:ind w:left="0" w:leftChars="0" w:firstLine="0" w:firstLineChars="0"/>
        <w:rPr>
          <w:rFonts w:ascii="Arial"/>
          <w:color w:val="auto"/>
          <w:sz w:val="21"/>
        </w:rPr>
      </w:pPr>
    </w:p>
    <w:p>
      <w:pPr>
        <w:pStyle w:val="3"/>
        <w:ind w:left="0" w:leftChars="0" w:firstLine="0" w:firstLineChars="0"/>
        <w:rPr>
          <w:rFonts w:ascii="Arial"/>
          <w:color w:val="auto"/>
          <w:sz w:val="21"/>
        </w:rPr>
      </w:pPr>
    </w:p>
    <w:p>
      <w:pPr>
        <w:pStyle w:val="3"/>
        <w:ind w:left="0" w:leftChars="0" w:firstLine="0" w:firstLineChars="0"/>
        <w:rPr>
          <w:rFonts w:ascii="Arial"/>
          <w:color w:val="auto"/>
          <w:sz w:val="21"/>
        </w:rPr>
      </w:pPr>
    </w:p>
    <w:p>
      <w:pPr>
        <w:pStyle w:val="3"/>
        <w:ind w:left="0" w:leftChars="0" w:firstLine="0" w:firstLineChars="0"/>
        <w:rPr>
          <w:rFonts w:ascii="Arial"/>
          <w:color w:val="auto"/>
          <w:sz w:val="21"/>
        </w:rPr>
      </w:pPr>
    </w:p>
    <w:p>
      <w:pPr>
        <w:pStyle w:val="3"/>
        <w:ind w:left="0" w:leftChars="0" w:firstLine="0" w:firstLineChars="0"/>
        <w:rPr>
          <w:rFonts w:ascii="Arial"/>
          <w:color w:val="auto"/>
          <w:sz w:val="21"/>
        </w:rPr>
      </w:pPr>
    </w:p>
    <w:p>
      <w:pPr>
        <w:pStyle w:val="3"/>
        <w:rPr>
          <w:rFonts w:ascii="Arial"/>
          <w:color w:val="auto"/>
          <w:sz w:val="21"/>
        </w:rPr>
      </w:pPr>
    </w:p>
    <w:p>
      <w:pPr>
        <w:spacing w:line="256" w:lineRule="auto"/>
        <w:rPr>
          <w:rFonts w:ascii="Arial"/>
          <w:color w:val="auto"/>
          <w:sz w:val="21"/>
        </w:rPr>
      </w:pPr>
    </w:p>
    <w:p>
      <w:pPr>
        <w:pStyle w:val="2"/>
        <w:spacing w:before="101" w:line="221" w:lineRule="auto"/>
        <w:rPr>
          <w:b/>
          <w:bCs/>
          <w:color w:val="auto"/>
          <w:spacing w:val="5"/>
        </w:rPr>
      </w:pPr>
    </w:p>
    <w:p>
      <w:pPr>
        <w:pStyle w:val="2"/>
        <w:spacing w:before="101" w:line="221" w:lineRule="auto"/>
        <w:rPr>
          <w:color w:val="auto"/>
        </w:rPr>
      </w:pPr>
      <w:r>
        <w:rPr>
          <w:b/>
          <w:bCs/>
          <w:color w:val="auto"/>
          <w:spacing w:val="5"/>
        </w:rPr>
        <w:t>第三部分</w:t>
      </w:r>
      <w:r>
        <w:rPr>
          <w:color w:val="auto"/>
          <w:spacing w:val="5"/>
        </w:rPr>
        <w:t xml:space="preserve">  </w:t>
      </w:r>
      <w:r>
        <w:rPr>
          <w:rFonts w:hint="eastAsia"/>
          <w:b/>
          <w:bCs/>
          <w:color w:val="auto"/>
        </w:rPr>
        <w:t>南昌市新建</w:t>
      </w:r>
      <w:r>
        <w:rPr>
          <w:rFonts w:hint="eastAsia"/>
          <w:b/>
          <w:bCs/>
          <w:color w:val="auto"/>
          <w:lang w:eastAsia="zh-CN"/>
        </w:rPr>
        <w:t>经开区第二中心学校</w:t>
      </w:r>
      <w:r>
        <w:rPr>
          <w:rFonts w:hint="eastAsia"/>
          <w:b/>
          <w:bCs/>
          <w:color w:val="auto"/>
          <w:spacing w:val="4"/>
          <w:lang w:val="en-US" w:eastAsia="zh-CN"/>
        </w:rPr>
        <w:t>2024</w:t>
      </w:r>
      <w:r>
        <w:rPr>
          <w:b/>
          <w:bCs/>
          <w:color w:val="auto"/>
          <w:spacing w:val="4"/>
        </w:rPr>
        <w:t>年</w:t>
      </w:r>
      <w:r>
        <w:rPr>
          <w:b/>
          <w:bCs/>
          <w:color w:val="auto"/>
          <w:spacing w:val="5"/>
        </w:rPr>
        <w:t>单位预算情况说明</w:t>
      </w:r>
    </w:p>
    <w:p>
      <w:pPr>
        <w:spacing w:line="341" w:lineRule="auto"/>
        <w:rPr>
          <w:rFonts w:ascii="Arial"/>
          <w:color w:val="auto"/>
          <w:sz w:val="21"/>
        </w:rPr>
      </w:pPr>
    </w:p>
    <w:p>
      <w:pPr>
        <w:spacing w:line="341" w:lineRule="auto"/>
        <w:rPr>
          <w:rFonts w:ascii="Arial"/>
          <w:color w:val="auto"/>
          <w:sz w:val="21"/>
        </w:rPr>
      </w:pPr>
    </w:p>
    <w:p>
      <w:pPr>
        <w:pStyle w:val="2"/>
        <w:spacing w:before="101" w:line="222" w:lineRule="auto"/>
        <w:ind w:left="30"/>
        <w:rPr>
          <w:rFonts w:ascii="楷体" w:hAnsi="楷体" w:eastAsia="楷体" w:cs="楷体"/>
          <w:b/>
          <w:bCs/>
          <w:color w:val="auto"/>
          <w:spacing w:val="6"/>
        </w:rPr>
      </w:pPr>
      <w:r>
        <w:rPr>
          <w:rFonts w:ascii="楷体" w:hAnsi="楷体" w:eastAsia="楷体" w:cs="楷体"/>
          <w:b/>
          <w:bCs/>
          <w:color w:val="auto"/>
          <w:spacing w:val="6"/>
        </w:rPr>
        <w:t>一、</w:t>
      </w:r>
      <w:r>
        <w:rPr>
          <w:rFonts w:hint="eastAsia" w:eastAsia="楷体"/>
          <w:b/>
          <w:bCs/>
          <w:color w:val="auto"/>
          <w:spacing w:val="6"/>
          <w:lang w:val="en-US" w:eastAsia="zh-CN"/>
        </w:rPr>
        <w:t>2024</w:t>
      </w:r>
      <w:r>
        <w:rPr>
          <w:rFonts w:ascii="楷体" w:hAnsi="楷体" w:eastAsia="楷体" w:cs="楷体"/>
          <w:b/>
          <w:bCs/>
          <w:color w:val="auto"/>
          <w:spacing w:val="6"/>
        </w:rPr>
        <w:t>年预算收支情况说明</w:t>
      </w:r>
    </w:p>
    <w:p>
      <w:pPr>
        <w:pStyle w:val="2"/>
        <w:spacing w:before="101" w:line="222" w:lineRule="auto"/>
        <w:ind w:left="30"/>
        <w:rPr>
          <w:rFonts w:ascii="楷体" w:hAnsi="楷体" w:eastAsia="楷体" w:cs="楷体"/>
          <w:b/>
          <w:bCs/>
          <w:color w:val="auto"/>
          <w:spacing w:val="6"/>
        </w:rPr>
      </w:pPr>
    </w:p>
    <w:p>
      <w:pPr>
        <w:pStyle w:val="2"/>
        <w:spacing w:before="101" w:line="222" w:lineRule="auto"/>
        <w:ind w:left="734"/>
        <w:rPr>
          <w:color w:val="auto"/>
        </w:rPr>
      </w:pPr>
      <w:r>
        <w:rPr>
          <w:b/>
          <w:bCs/>
          <w:color w:val="auto"/>
          <w:spacing w:val="-3"/>
        </w:rPr>
        <w:t>(一)收入预算情况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0" w:line="600" w:lineRule="exact"/>
        <w:ind w:right="16" w:firstLine="664" w:firstLineChars="200"/>
        <w:jc w:val="left"/>
        <w:textAlignment w:val="baseline"/>
        <w:rPr>
          <w:rFonts w:hint="eastAsia"/>
          <w:color w:val="auto"/>
          <w:spacing w:val="11"/>
          <w:lang w:val="en-US" w:eastAsia="en-US"/>
        </w:rPr>
      </w:pPr>
      <w:r>
        <w:rPr>
          <w:rFonts w:hint="eastAsia"/>
          <w:color w:val="auto"/>
          <w:spacing w:val="11"/>
          <w:lang w:val="en-US" w:eastAsia="zh-CN"/>
        </w:rPr>
        <w:t>2024</w:t>
      </w:r>
      <w:r>
        <w:rPr>
          <w:rFonts w:hint="eastAsia"/>
          <w:color w:val="auto"/>
          <w:spacing w:val="11"/>
          <w:lang w:val="en-US" w:eastAsia="en-US"/>
        </w:rPr>
        <w:t>年收入预算总额为</w:t>
      </w:r>
      <w:r>
        <w:rPr>
          <w:rFonts w:hint="eastAsia"/>
          <w:color w:val="auto"/>
          <w:spacing w:val="11"/>
          <w:lang w:val="en-US" w:eastAsia="zh-CN"/>
        </w:rPr>
        <w:t>2882.62</w:t>
      </w:r>
      <w:r>
        <w:rPr>
          <w:rFonts w:hint="eastAsia"/>
          <w:color w:val="auto"/>
          <w:spacing w:val="11"/>
          <w:lang w:val="en-US" w:eastAsia="en-US"/>
        </w:rPr>
        <w:t>万元,较上年预算安排</w:t>
      </w:r>
      <w:r>
        <w:rPr>
          <w:rFonts w:hint="eastAsia"/>
          <w:color w:val="auto"/>
          <w:spacing w:val="11"/>
          <w:lang w:val="en-US" w:eastAsia="zh-CN"/>
        </w:rPr>
        <w:t>增加635.23</w:t>
      </w:r>
      <w:r>
        <w:rPr>
          <w:rFonts w:hint="eastAsia"/>
          <w:color w:val="auto"/>
          <w:spacing w:val="11"/>
          <w:lang w:val="en-US" w:eastAsia="en-US"/>
        </w:rPr>
        <w:t>万元，</w:t>
      </w:r>
      <w:r>
        <w:rPr>
          <w:rFonts w:hint="eastAsia"/>
          <w:color w:val="auto"/>
          <w:spacing w:val="11"/>
          <w:lang w:val="en-US" w:eastAsia="zh-CN"/>
        </w:rPr>
        <w:t>增长28.25%,主要原因是人员经费增加。</w:t>
      </w:r>
      <w:r>
        <w:rPr>
          <w:rFonts w:hint="eastAsia"/>
          <w:color w:val="auto"/>
          <w:spacing w:val="11"/>
          <w:lang w:val="en-US" w:eastAsia="en-US"/>
        </w:rPr>
        <w:t>其中财政拨款收入</w:t>
      </w:r>
      <w:r>
        <w:rPr>
          <w:rFonts w:hint="eastAsia"/>
          <w:color w:val="auto"/>
          <w:spacing w:val="11"/>
          <w:lang w:val="en-US" w:eastAsia="zh-CN"/>
        </w:rPr>
        <w:t>1320.51</w:t>
      </w:r>
      <w:r>
        <w:rPr>
          <w:rFonts w:hint="eastAsia"/>
          <w:color w:val="auto"/>
          <w:spacing w:val="11"/>
          <w:lang w:val="en-US" w:eastAsia="en-US"/>
        </w:rPr>
        <w:t>万元,较上年预算安排增加</w:t>
      </w:r>
      <w:r>
        <w:rPr>
          <w:rFonts w:hint="eastAsia"/>
          <w:color w:val="auto"/>
          <w:spacing w:val="11"/>
          <w:lang w:val="en-US" w:eastAsia="zh-CN"/>
        </w:rPr>
        <w:t>164.43</w:t>
      </w:r>
      <w:r>
        <w:rPr>
          <w:rFonts w:hint="eastAsia"/>
          <w:color w:val="auto"/>
          <w:spacing w:val="11"/>
          <w:lang w:val="en-US" w:eastAsia="en-US"/>
        </w:rPr>
        <w:t>万元</w:t>
      </w:r>
      <w:r>
        <w:rPr>
          <w:rFonts w:hint="eastAsia"/>
          <w:color w:val="auto"/>
          <w:spacing w:val="11"/>
          <w:lang w:val="en-US" w:eastAsia="zh-CN"/>
        </w:rPr>
        <w:t>，</w:t>
      </w:r>
      <w:r>
        <w:rPr>
          <w:rFonts w:ascii="Times New Roman" w:hAnsi="Times New Roman" w:eastAsia="仿宋_GB2312" w:cs="Times New Roman"/>
          <w:snapToGrid/>
          <w:color w:val="auto"/>
          <w:kern w:val="21"/>
          <w:sz w:val="32"/>
          <w:szCs w:val="32"/>
          <w:lang w:eastAsia="zh-CN"/>
        </w:rPr>
        <w:t>主要原因是</w:t>
      </w:r>
      <w:r>
        <w:rPr>
          <w:rFonts w:hint="eastAsia" w:ascii="Times New Roman" w:hAnsi="Times New Roman" w:eastAsia="仿宋_GB2312" w:cs="Times New Roman"/>
          <w:snapToGrid/>
          <w:color w:val="auto"/>
          <w:kern w:val="21"/>
          <w:sz w:val="32"/>
          <w:szCs w:val="32"/>
          <w:lang w:eastAsia="zh-CN"/>
        </w:rPr>
        <w:t>人员奖金增加</w:t>
      </w:r>
      <w:r>
        <w:rPr>
          <w:rFonts w:hint="eastAsia"/>
          <w:color w:val="auto"/>
          <w:spacing w:val="11"/>
          <w:lang w:val="en-US" w:eastAsia="en-US"/>
        </w:rPr>
        <w:t>;教育收费资金收入</w:t>
      </w:r>
      <w:r>
        <w:rPr>
          <w:rFonts w:hint="eastAsia"/>
          <w:color w:val="auto"/>
          <w:spacing w:val="11"/>
          <w:lang w:val="en-US" w:eastAsia="zh-CN"/>
        </w:rPr>
        <w:t>498.31</w:t>
      </w:r>
      <w:r>
        <w:rPr>
          <w:rFonts w:hint="eastAsia"/>
          <w:color w:val="auto"/>
          <w:spacing w:val="11"/>
          <w:lang w:val="en-US" w:eastAsia="en-US"/>
        </w:rPr>
        <w:t>万元,较上年预算安排</w:t>
      </w:r>
      <w:r>
        <w:rPr>
          <w:rFonts w:hint="eastAsia"/>
          <w:color w:val="auto"/>
          <w:spacing w:val="11"/>
          <w:lang w:val="en-US" w:eastAsia="zh-CN"/>
        </w:rPr>
        <w:t>减少310.69</w:t>
      </w:r>
      <w:r>
        <w:rPr>
          <w:rFonts w:hint="eastAsia"/>
          <w:color w:val="auto"/>
          <w:spacing w:val="11"/>
          <w:lang w:val="en-US" w:eastAsia="en-US"/>
        </w:rPr>
        <w:t>万元</w:t>
      </w:r>
      <w:r>
        <w:rPr>
          <w:rFonts w:hint="eastAsia"/>
          <w:color w:val="auto"/>
          <w:spacing w:val="11"/>
          <w:lang w:val="en-US" w:eastAsia="zh-CN"/>
        </w:rPr>
        <w:t>，</w:t>
      </w:r>
      <w:r>
        <w:rPr>
          <w:rFonts w:ascii="Times New Roman" w:hAnsi="Times New Roman" w:eastAsia="仿宋_GB2312" w:cs="Times New Roman"/>
          <w:snapToGrid/>
          <w:color w:val="auto"/>
          <w:kern w:val="21"/>
          <w:sz w:val="32"/>
          <w:szCs w:val="32"/>
          <w:lang w:eastAsia="zh-CN"/>
        </w:rPr>
        <w:t>主要原因是</w:t>
      </w:r>
      <w:r>
        <w:rPr>
          <w:rFonts w:hint="eastAsia" w:ascii="Times New Roman" w:hAnsi="Times New Roman" w:eastAsia="仿宋_GB2312" w:cs="Times New Roman"/>
          <w:snapToGrid/>
          <w:color w:val="auto"/>
          <w:kern w:val="21"/>
          <w:sz w:val="32"/>
          <w:szCs w:val="32"/>
          <w:lang w:eastAsia="zh-CN"/>
        </w:rPr>
        <w:t>学校收费减少</w:t>
      </w:r>
      <w:r>
        <w:rPr>
          <w:rFonts w:hint="eastAsia"/>
          <w:color w:val="auto"/>
          <w:spacing w:val="11"/>
          <w:lang w:val="en-US" w:eastAsia="en-US"/>
        </w:rPr>
        <w:t>;其他收入</w:t>
      </w:r>
      <w:r>
        <w:rPr>
          <w:rFonts w:hint="eastAsia"/>
          <w:color w:val="auto"/>
          <w:spacing w:val="11"/>
          <w:lang w:val="en-US" w:eastAsia="zh-CN"/>
        </w:rPr>
        <w:t>1072.8万</w:t>
      </w:r>
      <w:r>
        <w:rPr>
          <w:rFonts w:hint="eastAsia"/>
          <w:color w:val="auto"/>
          <w:spacing w:val="11"/>
          <w:lang w:val="en-US" w:eastAsia="en-US"/>
        </w:rPr>
        <w:t>元，较上年预算安排</w:t>
      </w:r>
      <w:r>
        <w:rPr>
          <w:rFonts w:hint="eastAsia"/>
          <w:color w:val="auto"/>
          <w:spacing w:val="11"/>
          <w:lang w:val="en-US" w:eastAsia="zh-CN"/>
        </w:rPr>
        <w:t>增加781.29</w:t>
      </w:r>
      <w:r>
        <w:rPr>
          <w:rFonts w:hint="eastAsia"/>
          <w:color w:val="auto"/>
          <w:spacing w:val="11"/>
          <w:lang w:val="en-US" w:eastAsia="en-US"/>
        </w:rPr>
        <w:t>万元</w:t>
      </w:r>
      <w:r>
        <w:rPr>
          <w:rFonts w:hint="eastAsia"/>
          <w:color w:val="auto"/>
          <w:spacing w:val="11"/>
          <w:lang w:val="en-US" w:eastAsia="zh-CN"/>
        </w:rPr>
        <w:t>，</w:t>
      </w:r>
      <w:r>
        <w:rPr>
          <w:rFonts w:ascii="Times New Roman" w:hAnsi="Times New Roman" w:eastAsia="仿宋_GB2312" w:cs="Times New Roman"/>
          <w:snapToGrid/>
          <w:color w:val="auto"/>
          <w:kern w:val="21"/>
          <w:sz w:val="32"/>
          <w:szCs w:val="32"/>
          <w:lang w:eastAsia="zh-CN"/>
        </w:rPr>
        <w:t>主要原因是</w:t>
      </w:r>
      <w:r>
        <w:rPr>
          <w:rFonts w:hint="eastAsia" w:ascii="Times New Roman" w:hAnsi="Times New Roman" w:eastAsia="仿宋_GB2312" w:cs="Times New Roman"/>
          <w:snapToGrid/>
          <w:color w:val="auto"/>
          <w:kern w:val="21"/>
          <w:sz w:val="32"/>
          <w:szCs w:val="32"/>
          <w:lang w:eastAsia="zh-CN"/>
        </w:rPr>
        <w:t>学校课后服务、其他单位拨款增加</w:t>
      </w:r>
      <w:r>
        <w:rPr>
          <w:rFonts w:hint="eastAsia"/>
          <w:color w:val="auto"/>
          <w:spacing w:val="11"/>
          <w:lang w:val="en-US" w:eastAsia="en-US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600" w:lineRule="exact"/>
        <w:ind w:left="734"/>
        <w:textAlignment w:val="baseline"/>
        <w:rPr>
          <w:color w:val="auto"/>
        </w:rPr>
      </w:pPr>
      <w:r>
        <w:rPr>
          <w:b/>
          <w:bCs/>
          <w:color w:val="auto"/>
          <w:spacing w:val="-3"/>
        </w:rPr>
        <w:t>(二)支出预算情况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2" w:firstLine="664" w:firstLineChars="200"/>
        <w:textAlignment w:val="baseline"/>
        <w:rPr>
          <w:color w:val="auto"/>
        </w:rPr>
      </w:pPr>
      <w:r>
        <w:rPr>
          <w:rFonts w:hint="eastAsia"/>
          <w:color w:val="auto"/>
          <w:spacing w:val="11"/>
          <w:lang w:val="en-US" w:eastAsia="zh-CN"/>
        </w:rPr>
        <w:t>2024</w:t>
      </w:r>
      <w:r>
        <w:rPr>
          <w:color w:val="auto"/>
          <w:spacing w:val="11"/>
        </w:rPr>
        <w:t>年支出预算总额为</w:t>
      </w:r>
      <w:r>
        <w:rPr>
          <w:rFonts w:hint="eastAsia"/>
          <w:color w:val="auto"/>
          <w:spacing w:val="11"/>
          <w:lang w:val="en-US" w:eastAsia="zh-CN"/>
        </w:rPr>
        <w:t>2882.62</w:t>
      </w:r>
      <w:r>
        <w:rPr>
          <w:rFonts w:hint="eastAsia"/>
          <w:color w:val="auto"/>
          <w:spacing w:val="11"/>
          <w:lang w:val="en-US" w:eastAsia="en-US"/>
        </w:rPr>
        <w:t>万元,较上年预算安排</w:t>
      </w:r>
      <w:r>
        <w:rPr>
          <w:rFonts w:hint="eastAsia"/>
          <w:color w:val="auto"/>
          <w:spacing w:val="11"/>
          <w:lang w:val="en-US" w:eastAsia="zh-CN"/>
        </w:rPr>
        <w:t>增加635.23</w:t>
      </w:r>
      <w:r>
        <w:rPr>
          <w:rFonts w:hint="eastAsia"/>
          <w:color w:val="auto"/>
          <w:spacing w:val="11"/>
          <w:lang w:val="en-US" w:eastAsia="en-US"/>
        </w:rPr>
        <w:t>万元</w:t>
      </w:r>
      <w:r>
        <w:rPr>
          <w:rFonts w:hint="eastAsia"/>
          <w:color w:val="auto"/>
          <w:spacing w:val="11"/>
          <w:lang w:val="en-US" w:eastAsia="zh-CN"/>
        </w:rPr>
        <w:t>，增长28.25%,主要原因是人员经费增加。</w:t>
      </w:r>
      <w:r>
        <w:rPr>
          <w:color w:val="auto"/>
          <w:spacing w:val="5"/>
        </w:rPr>
        <w:t xml:space="preserve"> 其中：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7" w:line="600" w:lineRule="exact"/>
        <w:ind w:left="22" w:right="15" w:firstLine="645"/>
        <w:textAlignment w:val="baseline"/>
        <w:rPr>
          <w:color w:val="auto"/>
        </w:rPr>
      </w:pPr>
      <w:r>
        <w:rPr>
          <w:color w:val="auto"/>
          <w:spacing w:val="6"/>
        </w:rPr>
        <w:t>按支出项目类别划分： 基本支出</w:t>
      </w:r>
      <w:r>
        <w:rPr>
          <w:rFonts w:hint="eastAsia"/>
          <w:color w:val="auto"/>
          <w:spacing w:val="11"/>
          <w:lang w:val="en-US" w:eastAsia="zh-CN"/>
        </w:rPr>
        <w:t>2882.62</w:t>
      </w:r>
      <w:r>
        <w:rPr>
          <w:rFonts w:hint="eastAsia"/>
          <w:color w:val="auto"/>
          <w:spacing w:val="11"/>
          <w:lang w:val="en-US" w:eastAsia="en-US"/>
        </w:rPr>
        <w:t>万元,较上年预算安排</w:t>
      </w:r>
      <w:r>
        <w:rPr>
          <w:rFonts w:hint="eastAsia"/>
          <w:color w:val="auto"/>
          <w:spacing w:val="11"/>
          <w:lang w:val="en-US" w:eastAsia="zh-CN"/>
        </w:rPr>
        <w:t>增加635.23</w:t>
      </w:r>
      <w:r>
        <w:rPr>
          <w:rFonts w:hint="eastAsia"/>
          <w:color w:val="auto"/>
          <w:spacing w:val="11"/>
          <w:lang w:val="en-US" w:eastAsia="en-US"/>
        </w:rPr>
        <w:t>万元</w:t>
      </w:r>
      <w:r>
        <w:rPr>
          <w:rFonts w:hint="eastAsia"/>
          <w:color w:val="auto"/>
          <w:spacing w:val="11"/>
          <w:lang w:val="en-US" w:eastAsia="zh-CN"/>
        </w:rPr>
        <w:t>，主要原因是人员经费支出增加</w:t>
      </w:r>
      <w:r>
        <w:rPr>
          <w:color w:val="auto"/>
          <w:spacing w:val="6"/>
        </w:rPr>
        <w:t>;其中：工</w:t>
      </w:r>
      <w:r>
        <w:rPr>
          <w:color w:val="auto"/>
          <w:spacing w:val="5"/>
        </w:rPr>
        <w:t>资福利支出</w:t>
      </w:r>
      <w:r>
        <w:rPr>
          <w:rFonts w:hint="eastAsia"/>
          <w:color w:val="auto"/>
          <w:spacing w:val="5"/>
          <w:u w:val="none" w:color="auto"/>
          <w:lang w:val="en-US" w:eastAsia="zh-CN"/>
        </w:rPr>
        <w:t>2110.06</w:t>
      </w:r>
      <w:r>
        <w:rPr>
          <w:color w:val="auto"/>
          <w:spacing w:val="5"/>
        </w:rPr>
        <w:t>万元,</w:t>
      </w:r>
      <w:r>
        <w:rPr>
          <w:color w:val="auto"/>
        </w:rPr>
        <w:t xml:space="preserve"> </w:t>
      </w:r>
      <w:r>
        <w:rPr>
          <w:color w:val="auto"/>
          <w:spacing w:val="15"/>
        </w:rPr>
        <w:t>商品和服务支出</w:t>
      </w:r>
      <w:r>
        <w:rPr>
          <w:rFonts w:hint="eastAsia"/>
          <w:color w:val="auto"/>
          <w:spacing w:val="15"/>
          <w:lang w:val="en-US" w:eastAsia="zh-CN"/>
        </w:rPr>
        <w:t>765.02</w:t>
      </w:r>
      <w:r>
        <w:rPr>
          <w:color w:val="auto"/>
          <w:spacing w:val="15"/>
        </w:rPr>
        <w:t>万元,对个人和家庭的补助</w:t>
      </w:r>
      <w:r>
        <w:rPr>
          <w:rFonts w:hint="eastAsia"/>
          <w:color w:val="auto"/>
          <w:spacing w:val="15"/>
          <w:lang w:val="en-US" w:eastAsia="zh-CN"/>
        </w:rPr>
        <w:t>1.54</w:t>
      </w:r>
      <w:r>
        <w:rPr>
          <w:color w:val="auto"/>
          <w:spacing w:val="15"/>
        </w:rPr>
        <w:t>万元,</w:t>
      </w:r>
      <w:r>
        <w:rPr>
          <w:color w:val="auto"/>
        </w:rPr>
        <w:t xml:space="preserve"> 资本性支出</w:t>
      </w:r>
      <w:r>
        <w:rPr>
          <w:rFonts w:hint="eastAsia"/>
          <w:color w:val="auto"/>
          <w:lang w:val="en-US" w:eastAsia="zh-CN"/>
        </w:rPr>
        <w:t>6</w:t>
      </w:r>
      <w:r>
        <w:rPr>
          <w:color w:val="auto"/>
        </w:rPr>
        <w:t>万元。项目支出</w:t>
      </w:r>
      <w:r>
        <w:rPr>
          <w:rFonts w:hint="eastAsia"/>
          <w:color w:val="auto"/>
          <w:lang w:val="en-US" w:eastAsia="zh-CN"/>
        </w:rPr>
        <w:t>0</w:t>
      </w:r>
      <w:r>
        <w:rPr>
          <w:color w:val="auto"/>
        </w:rPr>
        <w:t>万元,较上年预</w:t>
      </w:r>
      <w:r>
        <w:rPr>
          <w:color w:val="auto"/>
          <w:spacing w:val="-1"/>
        </w:rPr>
        <w:t>算安排</w:t>
      </w:r>
      <w:r>
        <w:rPr>
          <w:rFonts w:hint="eastAsia"/>
          <w:color w:val="auto"/>
          <w:spacing w:val="5"/>
          <w:lang w:eastAsia="zh-CN"/>
        </w:rPr>
        <w:t>减少</w:t>
      </w:r>
      <w:r>
        <w:rPr>
          <w:rFonts w:hint="eastAsia"/>
          <w:color w:val="auto"/>
          <w:spacing w:val="5"/>
          <w:lang w:val="en-US" w:eastAsia="zh-CN"/>
        </w:rPr>
        <w:t>0</w:t>
      </w:r>
      <w:r>
        <w:rPr>
          <w:color w:val="auto"/>
          <w:spacing w:val="5"/>
        </w:rPr>
        <w:t>万元;其中：工资福利支出</w:t>
      </w:r>
      <w:r>
        <w:rPr>
          <w:rFonts w:hint="eastAsia"/>
          <w:color w:val="auto"/>
          <w:spacing w:val="5"/>
          <w:lang w:val="en-US" w:eastAsia="zh-CN"/>
        </w:rPr>
        <w:t>0</w:t>
      </w:r>
      <w:r>
        <w:rPr>
          <w:color w:val="auto"/>
          <w:spacing w:val="5"/>
        </w:rPr>
        <w:t>万元,商品</w:t>
      </w:r>
      <w:r>
        <w:rPr>
          <w:color w:val="auto"/>
          <w:spacing w:val="15"/>
        </w:rPr>
        <w:t>和服务支出</w:t>
      </w:r>
      <w:r>
        <w:rPr>
          <w:rFonts w:hint="eastAsia"/>
          <w:color w:val="auto"/>
          <w:spacing w:val="15"/>
          <w:lang w:val="en-US" w:eastAsia="zh-CN"/>
        </w:rPr>
        <w:t>0</w:t>
      </w:r>
      <w:r>
        <w:rPr>
          <w:color w:val="auto"/>
          <w:spacing w:val="15"/>
        </w:rPr>
        <w:t>万元,对个人和家庭的补助</w:t>
      </w:r>
      <w:r>
        <w:rPr>
          <w:rFonts w:hint="eastAsia"/>
          <w:color w:val="auto"/>
          <w:spacing w:val="15"/>
          <w:lang w:val="en-US" w:eastAsia="zh-CN"/>
        </w:rPr>
        <w:t>0</w:t>
      </w:r>
      <w:r>
        <w:rPr>
          <w:color w:val="auto"/>
          <w:spacing w:val="15"/>
        </w:rPr>
        <w:t>万元,</w:t>
      </w:r>
      <w:r>
        <w:rPr>
          <w:rFonts w:hint="eastAsia"/>
          <w:color w:val="auto"/>
          <w:spacing w:val="15"/>
          <w:lang w:eastAsia="zh-CN"/>
        </w:rPr>
        <w:t>债务</w:t>
      </w:r>
      <w:r>
        <w:rPr>
          <w:color w:val="auto"/>
          <w:spacing w:val="6"/>
        </w:rPr>
        <w:t>利息及费用支出</w:t>
      </w:r>
      <w:r>
        <w:rPr>
          <w:rFonts w:hint="eastAsia"/>
          <w:color w:val="auto"/>
          <w:spacing w:val="6"/>
          <w:lang w:val="en-US" w:eastAsia="zh-CN"/>
        </w:rPr>
        <w:t>0万元，</w:t>
      </w:r>
      <w:r>
        <w:rPr>
          <w:color w:val="auto"/>
          <w:spacing w:val="6"/>
        </w:rPr>
        <w:t>资本性支出（基本建设）</w:t>
      </w:r>
      <w:r>
        <w:rPr>
          <w:rFonts w:hint="eastAsia"/>
          <w:color w:val="auto"/>
          <w:spacing w:val="6"/>
          <w:lang w:val="en-US" w:eastAsia="zh-CN"/>
        </w:rPr>
        <w:t>0</w:t>
      </w:r>
      <w:r>
        <w:rPr>
          <w:color w:val="auto"/>
          <w:spacing w:val="6"/>
        </w:rPr>
        <w:t>万</w:t>
      </w:r>
      <w:r>
        <w:rPr>
          <w:color w:val="auto"/>
          <w:spacing w:val="10"/>
        </w:rPr>
        <w:t>元,资本性支出</w:t>
      </w:r>
      <w:r>
        <w:rPr>
          <w:rFonts w:hint="eastAsia"/>
          <w:color w:val="auto"/>
          <w:spacing w:val="10"/>
          <w:lang w:val="en-US" w:eastAsia="zh-CN"/>
        </w:rPr>
        <w:t>0</w:t>
      </w:r>
      <w:r>
        <w:rPr>
          <w:color w:val="auto"/>
          <w:spacing w:val="10"/>
        </w:rPr>
        <w:t>万元，对企业补助</w:t>
      </w:r>
      <w:r>
        <w:rPr>
          <w:rFonts w:hint="eastAsia"/>
          <w:color w:val="auto"/>
          <w:spacing w:val="10"/>
          <w:lang w:val="en-US" w:eastAsia="zh-CN"/>
        </w:rPr>
        <w:t>0</w:t>
      </w:r>
      <w:r>
        <w:rPr>
          <w:color w:val="auto"/>
          <w:spacing w:val="10"/>
        </w:rPr>
        <w:t>万元，其他支出</w:t>
      </w:r>
      <w:r>
        <w:rPr>
          <w:rFonts w:hint="eastAsia"/>
          <w:color w:val="auto"/>
          <w:spacing w:val="10"/>
          <w:lang w:val="en-US" w:eastAsia="zh-CN"/>
        </w:rPr>
        <w:t>0</w:t>
      </w:r>
      <w:r>
        <w:rPr>
          <w:color w:val="auto"/>
          <w:spacing w:val="-4"/>
        </w:rPr>
        <w:t>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6" w:firstLine="640" w:firstLineChars="200"/>
        <w:textAlignment w:val="baseline"/>
        <w:rPr>
          <w:rFonts w:hint="eastAsia" w:eastAsia="仿宋"/>
          <w:color w:val="auto"/>
          <w:lang w:eastAsia="zh-CN"/>
        </w:rPr>
      </w:pPr>
      <w:r>
        <w:rPr>
          <w:color w:val="auto"/>
          <w:spacing w:val="5"/>
        </w:rPr>
        <w:t>按支出功能科目划分：</w:t>
      </w:r>
      <w:r>
        <w:rPr>
          <w:color w:val="auto"/>
          <w:spacing w:val="5"/>
        </w:rPr>
        <w:t>教育支出</w:t>
      </w:r>
      <w:r>
        <w:rPr>
          <w:rFonts w:hint="eastAsia"/>
          <w:color w:val="auto"/>
          <w:spacing w:val="11"/>
          <w:lang w:val="en-US" w:eastAsia="zh-CN"/>
        </w:rPr>
        <w:t>2882.62</w:t>
      </w:r>
      <w:r>
        <w:rPr>
          <w:rFonts w:hint="eastAsia"/>
          <w:color w:val="auto"/>
          <w:spacing w:val="11"/>
          <w:lang w:val="en-US" w:eastAsia="en-US"/>
        </w:rPr>
        <w:t>万元,较上年预算安排</w:t>
      </w:r>
      <w:r>
        <w:rPr>
          <w:rFonts w:hint="eastAsia"/>
          <w:color w:val="auto"/>
          <w:spacing w:val="11"/>
          <w:lang w:val="en-US" w:eastAsia="zh-CN"/>
        </w:rPr>
        <w:t>增加635.23</w:t>
      </w:r>
      <w:r>
        <w:rPr>
          <w:rFonts w:hint="eastAsia"/>
          <w:color w:val="auto"/>
          <w:spacing w:val="11"/>
          <w:lang w:val="en-US" w:eastAsia="en-US"/>
        </w:rPr>
        <w:t>万元</w:t>
      </w:r>
      <w:r>
        <w:rPr>
          <w:rFonts w:hint="eastAsia"/>
          <w:color w:val="auto"/>
          <w:spacing w:val="11"/>
          <w:lang w:val="en-US" w:eastAsia="zh-CN"/>
        </w:rPr>
        <w:t>，增长28.25%,主要原因是人员经费增加。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2" w:line="600" w:lineRule="exact"/>
        <w:ind w:left="21" w:right="18" w:firstLine="647"/>
        <w:jc w:val="both"/>
        <w:textAlignment w:val="baseline"/>
        <w:rPr>
          <w:color w:val="auto"/>
        </w:rPr>
      </w:pPr>
      <w:r>
        <w:rPr>
          <w:color w:val="auto"/>
          <w:spacing w:val="13"/>
        </w:rPr>
        <w:t>按支出经济分类划分：工资福利支出</w:t>
      </w:r>
      <w:r>
        <w:rPr>
          <w:rFonts w:hint="eastAsia"/>
          <w:color w:val="auto"/>
          <w:spacing w:val="13"/>
          <w:lang w:val="en-US" w:eastAsia="zh-CN"/>
        </w:rPr>
        <w:t>2110.06</w:t>
      </w:r>
      <w:r>
        <w:rPr>
          <w:color w:val="auto"/>
          <w:spacing w:val="13"/>
        </w:rPr>
        <w:t>万元,较上年</w:t>
      </w:r>
      <w:r>
        <w:rPr>
          <w:color w:val="auto"/>
          <w:spacing w:val="6"/>
        </w:rPr>
        <w:t>预算安排增加</w:t>
      </w:r>
      <w:r>
        <w:rPr>
          <w:rFonts w:hint="eastAsia"/>
          <w:color w:val="auto"/>
          <w:spacing w:val="6"/>
          <w:lang w:val="en-US" w:eastAsia="zh-CN"/>
        </w:rPr>
        <w:t>496.66</w:t>
      </w:r>
      <w:r>
        <w:rPr>
          <w:color w:val="auto"/>
          <w:spacing w:val="6"/>
        </w:rPr>
        <w:t>万元</w:t>
      </w:r>
      <w:r>
        <w:rPr>
          <w:rFonts w:hint="eastAsia"/>
          <w:color w:val="auto"/>
          <w:spacing w:val="6"/>
          <w:lang w:eastAsia="zh-CN"/>
        </w:rPr>
        <w:t>，</w:t>
      </w:r>
      <w:r>
        <w:rPr>
          <w:rFonts w:hint="eastAsia"/>
          <w:color w:val="auto"/>
          <w:spacing w:val="11"/>
          <w:lang w:val="en-US" w:eastAsia="zh-CN"/>
        </w:rPr>
        <w:t>主要原因是人员奖金支出增加</w:t>
      </w:r>
      <w:r>
        <w:rPr>
          <w:color w:val="auto"/>
          <w:spacing w:val="6"/>
        </w:rPr>
        <w:t>;商品和</w:t>
      </w:r>
      <w:r>
        <w:rPr>
          <w:color w:val="auto"/>
          <w:spacing w:val="5"/>
        </w:rPr>
        <w:t>服务支出</w:t>
      </w:r>
      <w:r>
        <w:rPr>
          <w:rFonts w:hint="eastAsia"/>
          <w:color w:val="auto"/>
          <w:spacing w:val="5"/>
          <w:lang w:val="en-US" w:eastAsia="zh-CN"/>
        </w:rPr>
        <w:t>765.02</w:t>
      </w:r>
      <w:r>
        <w:rPr>
          <w:color w:val="auto"/>
          <w:spacing w:val="5"/>
        </w:rPr>
        <w:t>万元,</w:t>
      </w:r>
      <w:r>
        <w:rPr>
          <w:color w:val="auto"/>
        </w:rPr>
        <w:t xml:space="preserve"> </w:t>
      </w:r>
      <w:r>
        <w:rPr>
          <w:color w:val="auto"/>
          <w:spacing w:val="12"/>
        </w:rPr>
        <w:t>较上年预算安排</w:t>
      </w:r>
      <w:r>
        <w:rPr>
          <w:rFonts w:hint="eastAsia"/>
          <w:color w:val="auto"/>
          <w:spacing w:val="12"/>
          <w:lang w:eastAsia="zh-CN"/>
        </w:rPr>
        <w:t>增加</w:t>
      </w:r>
      <w:r>
        <w:rPr>
          <w:rFonts w:hint="eastAsia"/>
          <w:color w:val="auto"/>
          <w:spacing w:val="12"/>
          <w:lang w:val="en-US" w:eastAsia="zh-CN"/>
        </w:rPr>
        <w:t>171.63</w:t>
      </w:r>
      <w:r>
        <w:rPr>
          <w:color w:val="auto"/>
          <w:spacing w:val="12"/>
        </w:rPr>
        <w:t>万元</w:t>
      </w:r>
      <w:r>
        <w:rPr>
          <w:rFonts w:hint="eastAsia"/>
          <w:color w:val="auto"/>
          <w:spacing w:val="12"/>
          <w:lang w:eastAsia="zh-CN"/>
        </w:rPr>
        <w:t>，</w:t>
      </w:r>
      <w:r>
        <w:rPr>
          <w:rFonts w:hint="eastAsia"/>
          <w:color w:val="auto"/>
          <w:spacing w:val="11"/>
          <w:lang w:val="en-US" w:eastAsia="zh-CN"/>
        </w:rPr>
        <w:t>主要原因是学校公用开支增加</w:t>
      </w:r>
      <w:r>
        <w:rPr>
          <w:color w:val="auto"/>
          <w:spacing w:val="12"/>
        </w:rPr>
        <w:t>;对个人和家庭的补</w:t>
      </w:r>
      <w:r>
        <w:rPr>
          <w:color w:val="auto"/>
          <w:spacing w:val="6"/>
        </w:rPr>
        <w:t>助</w:t>
      </w:r>
      <w:r>
        <w:rPr>
          <w:color w:val="auto"/>
          <w:spacing w:val="-155"/>
        </w:rPr>
        <w:t xml:space="preserve"> </w:t>
      </w:r>
      <w:r>
        <w:rPr>
          <w:rFonts w:hint="eastAsia"/>
          <w:color w:val="auto"/>
          <w:spacing w:val="5"/>
          <w:u w:val="none" w:color="auto"/>
          <w:lang w:val="en-US" w:eastAsia="zh-CN"/>
        </w:rPr>
        <w:t>1.54</w:t>
      </w:r>
      <w:r>
        <w:rPr>
          <w:color w:val="auto"/>
          <w:spacing w:val="6"/>
        </w:rPr>
        <w:t>万元,较上年预算安排</w:t>
      </w:r>
      <w:r>
        <w:rPr>
          <w:rFonts w:hint="eastAsia"/>
          <w:color w:val="auto"/>
          <w:spacing w:val="6"/>
          <w:lang w:eastAsia="zh-CN"/>
        </w:rPr>
        <w:t>减少</w:t>
      </w:r>
      <w:r>
        <w:rPr>
          <w:rFonts w:hint="eastAsia"/>
          <w:color w:val="auto"/>
          <w:spacing w:val="6"/>
          <w:lang w:val="en-US" w:eastAsia="zh-CN"/>
        </w:rPr>
        <w:t>17.26</w:t>
      </w:r>
      <w:r>
        <w:rPr>
          <w:color w:val="auto"/>
          <w:spacing w:val="5"/>
        </w:rPr>
        <w:t>万元</w:t>
      </w:r>
      <w:r>
        <w:rPr>
          <w:rFonts w:hint="eastAsia"/>
          <w:color w:val="auto"/>
          <w:spacing w:val="5"/>
          <w:lang w:eastAsia="zh-CN"/>
        </w:rPr>
        <w:t>，</w:t>
      </w:r>
      <w:r>
        <w:rPr>
          <w:rFonts w:hint="eastAsia"/>
          <w:color w:val="auto"/>
          <w:spacing w:val="11"/>
          <w:lang w:val="en-US" w:eastAsia="zh-CN"/>
        </w:rPr>
        <w:t>主要原因是学校生活补助减少</w:t>
      </w:r>
      <w:r>
        <w:rPr>
          <w:color w:val="auto"/>
          <w:spacing w:val="5"/>
        </w:rPr>
        <w:t>;债务利</w:t>
      </w:r>
      <w:r>
        <w:rPr>
          <w:color w:val="auto"/>
          <w:spacing w:val="-6"/>
        </w:rPr>
        <w:t>息及费用支出</w:t>
      </w:r>
      <w:r>
        <w:rPr>
          <w:color w:val="auto"/>
          <w:spacing w:val="-147"/>
        </w:rPr>
        <w:t xml:space="preserve"> </w:t>
      </w:r>
      <w:r>
        <w:rPr>
          <w:rFonts w:hint="eastAsia"/>
          <w:color w:val="auto"/>
          <w:spacing w:val="-147"/>
          <w:lang w:val="en-US" w:eastAsia="zh-CN"/>
        </w:rPr>
        <w:t xml:space="preserve">      0           </w:t>
      </w:r>
      <w:r>
        <w:rPr>
          <w:color w:val="auto"/>
          <w:spacing w:val="-6"/>
        </w:rPr>
        <w:t>万元，较上年预算安排增加</w:t>
      </w:r>
      <w:r>
        <w:rPr>
          <w:rFonts w:hint="eastAsia"/>
          <w:color w:val="auto"/>
          <w:spacing w:val="-6"/>
          <w:lang w:val="en-US" w:eastAsia="zh-CN"/>
        </w:rPr>
        <w:t>0</w:t>
      </w:r>
      <w:r>
        <w:rPr>
          <w:color w:val="auto"/>
          <w:spacing w:val="-6"/>
        </w:rPr>
        <w:t>万</w:t>
      </w:r>
      <w:r>
        <w:rPr>
          <w:color w:val="auto"/>
          <w:spacing w:val="12"/>
        </w:rPr>
        <w:t>元；资本性支出（基本建设）</w:t>
      </w:r>
      <w:r>
        <w:rPr>
          <w:rFonts w:hint="eastAsia"/>
          <w:color w:val="auto"/>
          <w:spacing w:val="12"/>
          <w:lang w:val="en-US" w:eastAsia="zh-CN"/>
        </w:rPr>
        <w:t>0</w:t>
      </w:r>
      <w:r>
        <w:rPr>
          <w:color w:val="auto"/>
          <w:spacing w:val="12"/>
        </w:rPr>
        <w:t>万元,较上年预算安排增</w:t>
      </w:r>
      <w:r>
        <w:rPr>
          <w:color w:val="auto"/>
          <w:spacing w:val="10"/>
        </w:rPr>
        <w:t>加</w:t>
      </w:r>
      <w:r>
        <w:rPr>
          <w:rFonts w:hint="eastAsia"/>
          <w:color w:val="auto"/>
          <w:spacing w:val="10"/>
          <w:lang w:val="en-US" w:eastAsia="zh-CN"/>
        </w:rPr>
        <w:t>0</w:t>
      </w:r>
      <w:r>
        <w:rPr>
          <w:color w:val="auto"/>
          <w:spacing w:val="-124"/>
        </w:rPr>
        <w:t xml:space="preserve"> </w:t>
      </w:r>
      <w:r>
        <w:rPr>
          <w:color w:val="auto"/>
          <w:spacing w:val="10"/>
        </w:rPr>
        <w:t>万元；资本性支出</w:t>
      </w:r>
      <w:r>
        <w:rPr>
          <w:rFonts w:hint="eastAsia"/>
          <w:color w:val="auto"/>
          <w:spacing w:val="10"/>
          <w:lang w:val="en-US" w:eastAsia="zh-CN"/>
        </w:rPr>
        <w:t>6</w:t>
      </w:r>
      <w:r>
        <w:rPr>
          <w:color w:val="auto"/>
          <w:spacing w:val="10"/>
        </w:rPr>
        <w:t>万元,较上年预算安</w:t>
      </w:r>
      <w:r>
        <w:rPr>
          <w:color w:val="auto"/>
          <w:spacing w:val="6"/>
        </w:rPr>
        <w:t>排</w:t>
      </w:r>
      <w:r>
        <w:rPr>
          <w:rFonts w:hint="eastAsia"/>
          <w:color w:val="auto"/>
          <w:spacing w:val="6"/>
          <w:lang w:eastAsia="zh-CN"/>
        </w:rPr>
        <w:t>减少</w:t>
      </w:r>
      <w:r>
        <w:rPr>
          <w:rFonts w:hint="eastAsia"/>
          <w:color w:val="auto"/>
          <w:spacing w:val="6"/>
          <w:lang w:val="en-US" w:eastAsia="zh-CN"/>
        </w:rPr>
        <w:t>16</w:t>
      </w:r>
      <w:r>
        <w:rPr>
          <w:color w:val="auto"/>
          <w:spacing w:val="6"/>
        </w:rPr>
        <w:t>万元</w:t>
      </w:r>
      <w:r>
        <w:rPr>
          <w:rFonts w:hint="eastAsia"/>
          <w:color w:val="auto"/>
          <w:spacing w:val="6"/>
          <w:lang w:eastAsia="zh-CN"/>
        </w:rPr>
        <w:t>，</w:t>
      </w:r>
      <w:r>
        <w:rPr>
          <w:rFonts w:hint="eastAsia"/>
          <w:color w:val="auto"/>
          <w:spacing w:val="11"/>
          <w:lang w:val="en-US" w:eastAsia="zh-CN"/>
        </w:rPr>
        <w:t>主要原因是学校政府采购减少</w:t>
      </w:r>
      <w:r>
        <w:rPr>
          <w:color w:val="auto"/>
          <w:spacing w:val="6"/>
        </w:rPr>
        <w:t>；对企业补助（基本建设）</w:t>
      </w:r>
      <w:r>
        <w:rPr>
          <w:color w:val="auto"/>
          <w:spacing w:val="-125"/>
        </w:rPr>
        <w:t xml:space="preserve"> </w:t>
      </w:r>
      <w:r>
        <w:rPr>
          <w:rFonts w:hint="eastAsia"/>
          <w:color w:val="auto"/>
          <w:spacing w:val="-125"/>
          <w:lang w:val="en-US" w:eastAsia="zh-CN"/>
        </w:rPr>
        <w:t xml:space="preserve">0    </w:t>
      </w:r>
      <w:r>
        <w:rPr>
          <w:color w:val="auto"/>
          <w:spacing w:val="5"/>
        </w:rPr>
        <w:t>万</w:t>
      </w:r>
      <w:r>
        <w:rPr>
          <w:color w:val="auto"/>
          <w:spacing w:val="20"/>
        </w:rPr>
        <w:t>元,较上年预算安排增加</w:t>
      </w:r>
      <w:r>
        <w:rPr>
          <w:rFonts w:hint="eastAsia"/>
          <w:color w:val="auto"/>
          <w:spacing w:val="20"/>
          <w:lang w:val="en-US" w:eastAsia="zh-CN"/>
        </w:rPr>
        <w:t>0</w:t>
      </w:r>
      <w:r>
        <w:rPr>
          <w:color w:val="auto"/>
          <w:spacing w:val="20"/>
        </w:rPr>
        <w:t>万元；</w:t>
      </w:r>
      <w:r>
        <w:rPr>
          <w:color w:val="auto"/>
          <w:spacing w:val="-91"/>
        </w:rPr>
        <w:t xml:space="preserve"> </w:t>
      </w:r>
      <w:r>
        <w:rPr>
          <w:color w:val="auto"/>
          <w:spacing w:val="20"/>
        </w:rPr>
        <w:t>对企业补助</w:t>
      </w:r>
      <w:r>
        <w:rPr>
          <w:rFonts w:hint="eastAsia"/>
          <w:color w:val="auto"/>
          <w:position w:val="-4"/>
          <w:lang w:val="en-US" w:eastAsia="zh-CN"/>
        </w:rPr>
        <w:t>0</w:t>
      </w:r>
      <w:r>
        <w:rPr>
          <w:color w:val="auto"/>
          <w:spacing w:val="12"/>
        </w:rPr>
        <w:t>万元,较上年预算安排增加</w:t>
      </w:r>
      <w:r>
        <w:rPr>
          <w:rFonts w:hint="eastAsia"/>
          <w:color w:val="auto"/>
          <w:spacing w:val="12"/>
          <w:lang w:val="en-US" w:eastAsia="zh-CN"/>
        </w:rPr>
        <w:t>0</w:t>
      </w:r>
      <w:r>
        <w:rPr>
          <w:color w:val="auto"/>
          <w:spacing w:val="12"/>
        </w:rPr>
        <w:t>万元；对社会保险</w:t>
      </w:r>
      <w:r>
        <w:rPr>
          <w:color w:val="auto"/>
          <w:spacing w:val="2"/>
        </w:rPr>
        <w:t>基金补助</w:t>
      </w:r>
      <w:r>
        <w:rPr>
          <w:rFonts w:hint="eastAsia"/>
          <w:color w:val="auto"/>
          <w:spacing w:val="2"/>
          <w:lang w:val="en-US" w:eastAsia="zh-CN"/>
        </w:rPr>
        <w:t>0</w:t>
      </w:r>
      <w:r>
        <w:rPr>
          <w:color w:val="auto"/>
          <w:spacing w:val="2"/>
        </w:rPr>
        <w:t>万元,较上年预算安排增加</w:t>
      </w:r>
      <w:r>
        <w:rPr>
          <w:rFonts w:hint="eastAsia"/>
          <w:color w:val="auto"/>
          <w:spacing w:val="2"/>
          <w:lang w:val="en-US" w:eastAsia="zh-CN"/>
        </w:rPr>
        <w:t>0</w:t>
      </w:r>
      <w:r>
        <w:rPr>
          <w:color w:val="auto"/>
          <w:spacing w:val="2"/>
        </w:rPr>
        <w:t>万元；</w:t>
      </w:r>
      <w:r>
        <w:rPr>
          <w:color w:val="auto"/>
          <w:spacing w:val="3"/>
        </w:rPr>
        <w:t>其他支出</w:t>
      </w:r>
      <w:r>
        <w:rPr>
          <w:rFonts w:hint="eastAsia"/>
          <w:color w:val="auto"/>
          <w:spacing w:val="-151"/>
          <w:lang w:val="en-US" w:eastAsia="zh-CN"/>
        </w:rPr>
        <w:t xml:space="preserve">0                             </w:t>
      </w:r>
      <w:r>
        <w:rPr>
          <w:color w:val="auto"/>
          <w:spacing w:val="-124"/>
        </w:rPr>
        <w:t xml:space="preserve"> </w:t>
      </w:r>
      <w:r>
        <w:rPr>
          <w:color w:val="auto"/>
          <w:spacing w:val="3"/>
        </w:rPr>
        <w:t>万元,较上年预算安排增加</w:t>
      </w:r>
      <w:r>
        <w:rPr>
          <w:rFonts w:hint="eastAsia"/>
          <w:color w:val="auto"/>
          <w:spacing w:val="3"/>
          <w:lang w:val="en-US" w:eastAsia="zh-CN"/>
        </w:rPr>
        <w:t>0</w:t>
      </w:r>
      <w:r>
        <w:rPr>
          <w:color w:val="auto"/>
          <w:spacing w:val="3"/>
        </w:rPr>
        <w:t>万</w:t>
      </w:r>
      <w:r>
        <w:rPr>
          <w:rFonts w:hint="eastAsia"/>
          <w:color w:val="auto"/>
          <w:spacing w:val="3"/>
          <w:lang w:eastAsia="zh-CN"/>
        </w:rPr>
        <w:t>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600" w:lineRule="exact"/>
        <w:ind w:left="734"/>
        <w:textAlignment w:val="baseline"/>
        <w:rPr>
          <w:color w:val="auto"/>
        </w:rPr>
      </w:pPr>
      <w:r>
        <w:rPr>
          <w:b/>
          <w:bCs/>
          <w:color w:val="auto"/>
          <w:spacing w:val="-1"/>
        </w:rPr>
        <w:t>(三)财政拨款支出情况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600" w:lineRule="exact"/>
        <w:ind w:right="91" w:firstLine="664" w:firstLineChars="200"/>
        <w:jc w:val="left"/>
        <w:textAlignment w:val="baseline"/>
        <w:rPr>
          <w:rFonts w:hint="eastAsia" w:eastAsia="仿宋_GB2312"/>
          <w:color w:val="auto"/>
          <w:lang w:eastAsia="zh-CN"/>
        </w:rPr>
      </w:pPr>
      <w:r>
        <w:rPr>
          <w:rFonts w:hint="eastAsia"/>
          <w:color w:val="auto"/>
          <w:spacing w:val="11"/>
          <w:lang w:val="en-US" w:eastAsia="zh-CN"/>
        </w:rPr>
        <w:t>2024年</w:t>
      </w:r>
      <w:r>
        <w:rPr>
          <w:color w:val="auto"/>
          <w:spacing w:val="11"/>
        </w:rPr>
        <w:t>单位财政拨款支出预算总额</w:t>
      </w:r>
      <w:r>
        <w:rPr>
          <w:rFonts w:hint="eastAsia"/>
          <w:color w:val="auto"/>
          <w:spacing w:val="11"/>
          <w:lang w:val="en-US" w:eastAsia="zh-CN"/>
        </w:rPr>
        <w:t>1320.51</w:t>
      </w:r>
      <w:r>
        <w:rPr>
          <w:rFonts w:hint="eastAsia"/>
          <w:color w:val="auto"/>
          <w:spacing w:val="11"/>
          <w:lang w:val="en-US" w:eastAsia="en-US"/>
        </w:rPr>
        <w:t>万元,较上年预算安排增加</w:t>
      </w:r>
      <w:r>
        <w:rPr>
          <w:rFonts w:hint="eastAsia"/>
          <w:color w:val="auto"/>
          <w:spacing w:val="11"/>
          <w:lang w:val="en-US" w:eastAsia="zh-CN"/>
        </w:rPr>
        <w:t>164.43</w:t>
      </w:r>
      <w:r>
        <w:rPr>
          <w:rFonts w:hint="eastAsia"/>
          <w:color w:val="auto"/>
          <w:spacing w:val="11"/>
          <w:lang w:val="en-US" w:eastAsia="en-US"/>
        </w:rPr>
        <w:t>万元</w:t>
      </w:r>
      <w:r>
        <w:rPr>
          <w:rFonts w:hint="eastAsia"/>
          <w:color w:val="auto"/>
          <w:spacing w:val="11"/>
          <w:lang w:val="en-US" w:eastAsia="zh-CN"/>
        </w:rPr>
        <w:t>，</w:t>
      </w:r>
      <w:r>
        <w:rPr>
          <w:rFonts w:hint="eastAsia"/>
          <w:color w:val="auto"/>
          <w:spacing w:val="5"/>
          <w:lang w:eastAsia="zh-CN"/>
        </w:rPr>
        <w:t>增长</w:t>
      </w:r>
      <w:r>
        <w:rPr>
          <w:rFonts w:hint="eastAsia"/>
          <w:color w:val="auto"/>
          <w:spacing w:val="5"/>
          <w:lang w:val="en-US" w:eastAsia="zh-CN"/>
        </w:rPr>
        <w:t>14.22%，</w:t>
      </w:r>
      <w:r>
        <w:rPr>
          <w:rFonts w:ascii="Times New Roman" w:hAnsi="Times New Roman" w:eastAsia="仿宋_GB2312" w:cs="Times New Roman"/>
          <w:snapToGrid/>
          <w:color w:val="auto"/>
          <w:kern w:val="21"/>
          <w:sz w:val="32"/>
          <w:szCs w:val="32"/>
          <w:lang w:eastAsia="zh-CN"/>
        </w:rPr>
        <w:t>主要原因是</w:t>
      </w:r>
      <w:r>
        <w:rPr>
          <w:rFonts w:hint="eastAsia" w:ascii="Times New Roman" w:hAnsi="Times New Roman" w:eastAsia="仿宋_GB2312" w:cs="Times New Roman"/>
          <w:snapToGrid/>
          <w:color w:val="auto"/>
          <w:kern w:val="21"/>
          <w:sz w:val="32"/>
          <w:szCs w:val="32"/>
          <w:lang w:eastAsia="zh-CN"/>
        </w:rPr>
        <w:t>人员奖金增加</w:t>
      </w:r>
      <w:r>
        <w:rPr>
          <w:rFonts w:hint="eastAsia" w:eastAsia="仿宋_GB2312"/>
          <w:color w:val="auto"/>
          <w:spacing w:val="5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600" w:lineRule="exact"/>
        <w:ind w:right="91" w:firstLine="664" w:firstLineChars="200"/>
        <w:jc w:val="left"/>
        <w:textAlignment w:val="baseline"/>
        <w:rPr>
          <w:rFonts w:hint="eastAsia" w:eastAsia="仿宋"/>
          <w:color w:val="auto"/>
          <w:spacing w:val="1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600" w:lineRule="exact"/>
        <w:ind w:right="91" w:firstLine="660" w:firstLineChars="200"/>
        <w:jc w:val="left"/>
        <w:textAlignment w:val="baseline"/>
        <w:rPr>
          <w:rFonts w:hint="eastAsia" w:eastAsia="仿宋_GB2312"/>
          <w:color w:val="auto"/>
          <w:lang w:eastAsia="zh-CN"/>
        </w:rPr>
      </w:pPr>
      <w:r>
        <w:rPr>
          <w:color w:val="auto"/>
          <w:spacing w:val="10"/>
        </w:rPr>
        <w:t>按支出功能科目划分：</w:t>
      </w:r>
      <w:r>
        <w:rPr>
          <w:color w:val="auto"/>
          <w:spacing w:val="34"/>
        </w:rPr>
        <w:t>教育支出</w:t>
      </w:r>
      <w:r>
        <w:rPr>
          <w:rFonts w:hint="eastAsia"/>
          <w:color w:val="auto"/>
          <w:spacing w:val="11"/>
          <w:lang w:val="en-US" w:eastAsia="zh-CN"/>
        </w:rPr>
        <w:t>1320.51</w:t>
      </w:r>
      <w:r>
        <w:rPr>
          <w:rFonts w:hint="eastAsia"/>
          <w:color w:val="auto"/>
          <w:spacing w:val="11"/>
          <w:lang w:val="en-US" w:eastAsia="en-US"/>
        </w:rPr>
        <w:t>万元,较上年预算安排增加</w:t>
      </w:r>
      <w:r>
        <w:rPr>
          <w:rFonts w:hint="eastAsia"/>
          <w:color w:val="auto"/>
          <w:spacing w:val="11"/>
          <w:lang w:val="en-US" w:eastAsia="zh-CN"/>
        </w:rPr>
        <w:t>164.43</w:t>
      </w:r>
      <w:r>
        <w:rPr>
          <w:rFonts w:hint="eastAsia"/>
          <w:color w:val="auto"/>
          <w:spacing w:val="11"/>
          <w:lang w:val="en-US" w:eastAsia="en-US"/>
        </w:rPr>
        <w:t>万元</w:t>
      </w:r>
      <w:r>
        <w:rPr>
          <w:rFonts w:hint="eastAsia"/>
          <w:color w:val="auto"/>
          <w:spacing w:val="11"/>
          <w:lang w:val="en-US" w:eastAsia="zh-CN"/>
        </w:rPr>
        <w:t>，</w:t>
      </w:r>
      <w:r>
        <w:rPr>
          <w:rFonts w:hint="eastAsia"/>
          <w:color w:val="auto"/>
          <w:spacing w:val="5"/>
          <w:lang w:eastAsia="zh-CN"/>
        </w:rPr>
        <w:t>增长</w:t>
      </w:r>
      <w:r>
        <w:rPr>
          <w:rFonts w:hint="eastAsia"/>
          <w:color w:val="auto"/>
          <w:spacing w:val="5"/>
          <w:lang w:val="en-US" w:eastAsia="zh-CN"/>
        </w:rPr>
        <w:t>14.22%，</w:t>
      </w:r>
      <w:r>
        <w:rPr>
          <w:rFonts w:ascii="Times New Roman" w:hAnsi="Times New Roman" w:eastAsia="仿宋_GB2312" w:cs="Times New Roman"/>
          <w:snapToGrid/>
          <w:color w:val="auto"/>
          <w:kern w:val="21"/>
          <w:sz w:val="32"/>
          <w:szCs w:val="32"/>
          <w:lang w:eastAsia="zh-CN"/>
        </w:rPr>
        <w:t>主要原因是</w:t>
      </w:r>
      <w:r>
        <w:rPr>
          <w:rFonts w:hint="eastAsia" w:ascii="Times New Roman" w:hAnsi="Times New Roman" w:eastAsia="仿宋_GB2312" w:cs="Times New Roman"/>
          <w:snapToGrid/>
          <w:color w:val="auto"/>
          <w:kern w:val="21"/>
          <w:sz w:val="32"/>
          <w:szCs w:val="32"/>
          <w:lang w:eastAsia="zh-CN"/>
        </w:rPr>
        <w:t>人员奖金增加</w:t>
      </w:r>
      <w:r>
        <w:rPr>
          <w:rFonts w:hint="eastAsia" w:eastAsia="仿宋_GB2312"/>
          <w:color w:val="auto"/>
          <w:spacing w:val="5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600" w:lineRule="exact"/>
        <w:ind w:right="91" w:firstLine="664" w:firstLineChars="200"/>
        <w:jc w:val="left"/>
        <w:textAlignment w:val="baseline"/>
        <w:rPr>
          <w:rFonts w:hint="eastAsia" w:eastAsia="仿宋"/>
          <w:color w:val="auto"/>
          <w:spacing w:val="11"/>
          <w:lang w:val="en-US" w:eastAsia="zh-CN"/>
        </w:rPr>
      </w:pPr>
      <w:r>
        <w:rPr>
          <w:rFonts w:hint="eastAsia"/>
          <w:color w:val="auto"/>
          <w:spacing w:val="11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600" w:lineRule="exact"/>
        <w:ind w:right="91" w:firstLine="644" w:firstLineChars="200"/>
        <w:jc w:val="left"/>
        <w:textAlignment w:val="baseline"/>
        <w:rPr>
          <w:rFonts w:hint="eastAsia" w:eastAsia="仿宋_GB2312"/>
          <w:color w:val="auto"/>
          <w:lang w:eastAsia="zh-CN"/>
        </w:rPr>
      </w:pPr>
      <w:r>
        <w:rPr>
          <w:color w:val="auto"/>
          <w:spacing w:val="6"/>
        </w:rPr>
        <w:t>按支出项目类别划分：基本支出</w:t>
      </w:r>
      <w:r>
        <w:rPr>
          <w:rFonts w:hint="eastAsia"/>
          <w:color w:val="auto"/>
          <w:spacing w:val="11"/>
          <w:lang w:val="en-US" w:eastAsia="zh-CN"/>
        </w:rPr>
        <w:t>1320.51</w:t>
      </w:r>
      <w:r>
        <w:rPr>
          <w:rFonts w:hint="eastAsia"/>
          <w:color w:val="auto"/>
          <w:spacing w:val="11"/>
          <w:lang w:val="en-US" w:eastAsia="en-US"/>
        </w:rPr>
        <w:t>万元,较上年预算安排增加</w:t>
      </w:r>
      <w:r>
        <w:rPr>
          <w:rFonts w:hint="eastAsia"/>
          <w:color w:val="auto"/>
          <w:spacing w:val="11"/>
          <w:lang w:val="en-US" w:eastAsia="zh-CN"/>
        </w:rPr>
        <w:t>164.43</w:t>
      </w:r>
      <w:r>
        <w:rPr>
          <w:rFonts w:hint="eastAsia"/>
          <w:color w:val="auto"/>
          <w:spacing w:val="11"/>
          <w:lang w:val="en-US" w:eastAsia="en-US"/>
        </w:rPr>
        <w:t>万元</w:t>
      </w:r>
      <w:r>
        <w:rPr>
          <w:rFonts w:hint="eastAsia"/>
          <w:color w:val="auto"/>
          <w:spacing w:val="5"/>
          <w:lang w:val="en-US" w:eastAsia="zh-CN"/>
        </w:rPr>
        <w:t>，</w:t>
      </w:r>
      <w:r>
        <w:rPr>
          <w:rFonts w:ascii="Times New Roman" w:hAnsi="Times New Roman" w:eastAsia="仿宋_GB2312" w:cs="Times New Roman"/>
          <w:snapToGrid/>
          <w:color w:val="auto"/>
          <w:kern w:val="21"/>
          <w:sz w:val="32"/>
          <w:szCs w:val="32"/>
          <w:lang w:eastAsia="zh-CN"/>
        </w:rPr>
        <w:t>主要原因是</w:t>
      </w:r>
      <w:r>
        <w:rPr>
          <w:rFonts w:hint="eastAsia" w:ascii="Times New Roman" w:hAnsi="Times New Roman" w:eastAsia="仿宋_GB2312" w:cs="Times New Roman"/>
          <w:snapToGrid/>
          <w:color w:val="auto"/>
          <w:kern w:val="21"/>
          <w:sz w:val="32"/>
          <w:szCs w:val="32"/>
          <w:lang w:eastAsia="zh-CN"/>
        </w:rPr>
        <w:t>人员奖金增加</w:t>
      </w:r>
      <w:r>
        <w:rPr>
          <w:rFonts w:hint="eastAsia" w:eastAsia="仿宋_GB2312"/>
          <w:color w:val="auto"/>
          <w:spacing w:val="5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600" w:lineRule="exact"/>
        <w:ind w:right="91" w:firstLine="644" w:firstLineChars="200"/>
        <w:jc w:val="left"/>
        <w:textAlignment w:val="baseline"/>
        <w:rPr>
          <w:color w:val="auto"/>
        </w:rPr>
      </w:pPr>
      <w:r>
        <w:rPr>
          <w:color w:val="auto"/>
          <w:spacing w:val="6"/>
        </w:rPr>
        <w:t>其中：工</w:t>
      </w:r>
      <w:r>
        <w:rPr>
          <w:color w:val="auto"/>
          <w:spacing w:val="5"/>
        </w:rPr>
        <w:t>资福利支出</w:t>
      </w:r>
      <w:r>
        <w:rPr>
          <w:rFonts w:hint="eastAsia"/>
          <w:color w:val="auto"/>
          <w:spacing w:val="5"/>
          <w:lang w:val="en-US" w:eastAsia="zh-CN"/>
        </w:rPr>
        <w:t>1305.06</w:t>
      </w:r>
      <w:r>
        <w:rPr>
          <w:color w:val="auto"/>
          <w:spacing w:val="5"/>
        </w:rPr>
        <w:t>万元,</w:t>
      </w:r>
      <w:r>
        <w:rPr>
          <w:color w:val="auto"/>
        </w:rPr>
        <w:t xml:space="preserve"> </w:t>
      </w:r>
      <w:r>
        <w:rPr>
          <w:color w:val="auto"/>
          <w:spacing w:val="11"/>
        </w:rPr>
        <w:t>商品和服务支出</w:t>
      </w:r>
      <w:r>
        <w:rPr>
          <w:rFonts w:hint="eastAsia"/>
          <w:color w:val="auto"/>
          <w:spacing w:val="11"/>
          <w:lang w:val="en-US" w:eastAsia="zh-CN"/>
        </w:rPr>
        <w:t>13.91</w:t>
      </w:r>
      <w:r>
        <w:rPr>
          <w:color w:val="auto"/>
          <w:spacing w:val="11"/>
        </w:rPr>
        <w:t>万元,对个人和家庭的补助</w:t>
      </w:r>
      <w:r>
        <w:rPr>
          <w:rFonts w:hint="eastAsia"/>
          <w:color w:val="auto"/>
          <w:spacing w:val="11"/>
          <w:lang w:val="en-US" w:eastAsia="zh-CN"/>
        </w:rPr>
        <w:t>1.54</w:t>
      </w:r>
      <w:r>
        <w:rPr>
          <w:color w:val="auto"/>
          <w:spacing w:val="10"/>
        </w:rPr>
        <w:t>万元，</w:t>
      </w:r>
      <w:r>
        <w:rPr>
          <w:color w:val="auto"/>
        </w:rPr>
        <w:t xml:space="preserve"> </w:t>
      </w:r>
      <w:r>
        <w:rPr>
          <w:color w:val="auto"/>
          <w:spacing w:val="11"/>
        </w:rPr>
        <w:t>资本性支出</w:t>
      </w:r>
      <w:r>
        <w:rPr>
          <w:rFonts w:hint="eastAsia"/>
          <w:color w:val="auto"/>
          <w:spacing w:val="11"/>
          <w:lang w:val="en-US" w:eastAsia="zh-CN"/>
        </w:rPr>
        <w:t>0万</w:t>
      </w:r>
      <w:r>
        <w:rPr>
          <w:color w:val="auto"/>
          <w:spacing w:val="11"/>
        </w:rPr>
        <w:t>元。项目支出</w:t>
      </w:r>
      <w:r>
        <w:rPr>
          <w:rFonts w:hint="eastAsia"/>
          <w:color w:val="auto"/>
          <w:spacing w:val="11"/>
          <w:lang w:val="en-US" w:eastAsia="zh-CN"/>
        </w:rPr>
        <w:t>0万元</w:t>
      </w:r>
      <w:r>
        <w:rPr>
          <w:color w:val="auto"/>
          <w:spacing w:val="11"/>
        </w:rPr>
        <w:t>,较上年预</w:t>
      </w:r>
      <w:r>
        <w:rPr>
          <w:color w:val="auto"/>
          <w:spacing w:val="10"/>
        </w:rPr>
        <w:t>算安排</w:t>
      </w:r>
      <w:r>
        <w:rPr>
          <w:rFonts w:hint="eastAsia"/>
          <w:color w:val="auto"/>
          <w:spacing w:val="5"/>
          <w:lang w:eastAsia="zh-CN"/>
        </w:rPr>
        <w:t>减少</w:t>
      </w:r>
      <w:r>
        <w:rPr>
          <w:rFonts w:hint="eastAsia"/>
          <w:color w:val="auto"/>
          <w:spacing w:val="5"/>
          <w:lang w:val="en-US" w:eastAsia="zh-CN"/>
        </w:rPr>
        <w:t>0万元</w:t>
      </w:r>
      <w:r>
        <w:rPr>
          <w:color w:val="auto"/>
          <w:spacing w:val="5"/>
        </w:rPr>
        <w:t>;其中：工资福利支出</w:t>
      </w:r>
      <w:r>
        <w:rPr>
          <w:rFonts w:hint="eastAsia"/>
          <w:color w:val="auto"/>
          <w:spacing w:val="5"/>
          <w:lang w:val="en-US" w:eastAsia="zh-CN"/>
        </w:rPr>
        <w:t>0万元</w:t>
      </w:r>
      <w:r>
        <w:rPr>
          <w:color w:val="auto"/>
          <w:spacing w:val="5"/>
        </w:rPr>
        <w:t>,商品</w:t>
      </w:r>
      <w:r>
        <w:rPr>
          <w:color w:val="auto"/>
          <w:spacing w:val="15"/>
        </w:rPr>
        <w:t>和服务支出</w:t>
      </w:r>
      <w:r>
        <w:rPr>
          <w:rFonts w:hint="eastAsia"/>
          <w:color w:val="auto"/>
          <w:spacing w:val="15"/>
          <w:lang w:val="en-US" w:eastAsia="zh-CN"/>
        </w:rPr>
        <w:t>0万</w:t>
      </w:r>
      <w:r>
        <w:rPr>
          <w:color w:val="auto"/>
          <w:spacing w:val="15"/>
        </w:rPr>
        <w:t>元,对个人和家庭的补助</w:t>
      </w:r>
      <w:r>
        <w:rPr>
          <w:rFonts w:hint="eastAsia"/>
          <w:color w:val="auto"/>
          <w:spacing w:val="15"/>
          <w:lang w:val="en-US" w:eastAsia="zh-CN"/>
        </w:rPr>
        <w:t>0万元</w:t>
      </w:r>
      <w:r>
        <w:rPr>
          <w:color w:val="auto"/>
          <w:spacing w:val="15"/>
        </w:rPr>
        <w:t>,债务</w:t>
      </w:r>
      <w:r>
        <w:rPr>
          <w:color w:val="auto"/>
          <w:spacing w:val="6"/>
        </w:rPr>
        <w:t>利息及费用支出</w:t>
      </w:r>
      <w:r>
        <w:rPr>
          <w:rFonts w:hint="eastAsia"/>
          <w:color w:val="auto"/>
          <w:spacing w:val="6"/>
          <w:lang w:val="en-US" w:eastAsia="zh-CN"/>
        </w:rPr>
        <w:t>0万元</w:t>
      </w:r>
      <w:r>
        <w:rPr>
          <w:color w:val="auto"/>
          <w:spacing w:val="6"/>
        </w:rPr>
        <w:t>，资本性支出（基本建设）</w:t>
      </w:r>
      <w:r>
        <w:rPr>
          <w:rFonts w:hint="eastAsia"/>
          <w:color w:val="auto"/>
          <w:spacing w:val="6"/>
          <w:lang w:val="en-US" w:eastAsia="zh-CN"/>
        </w:rPr>
        <w:t>0万</w:t>
      </w:r>
      <w:r>
        <w:rPr>
          <w:color w:val="auto"/>
          <w:spacing w:val="11"/>
        </w:rPr>
        <w:t>元,资本性支出</w:t>
      </w:r>
      <w:r>
        <w:rPr>
          <w:rFonts w:hint="eastAsia"/>
          <w:color w:val="auto"/>
          <w:spacing w:val="11"/>
          <w:lang w:val="en-US" w:eastAsia="zh-CN"/>
        </w:rPr>
        <w:t>0万元</w:t>
      </w:r>
      <w:r>
        <w:rPr>
          <w:rFonts w:hint="eastAsia"/>
          <w:color w:val="auto"/>
          <w:spacing w:val="11"/>
          <w:lang w:eastAsia="zh-CN"/>
        </w:rPr>
        <w:t>，</w:t>
      </w:r>
      <w:r>
        <w:rPr>
          <w:color w:val="auto"/>
          <w:spacing w:val="11"/>
        </w:rPr>
        <w:t>对企业补助</w:t>
      </w:r>
      <w:r>
        <w:rPr>
          <w:rFonts w:hint="eastAsia"/>
          <w:color w:val="auto"/>
          <w:spacing w:val="11"/>
          <w:lang w:val="en-US" w:eastAsia="zh-CN"/>
        </w:rPr>
        <w:t>0万元</w:t>
      </w:r>
      <w:r>
        <w:rPr>
          <w:rFonts w:hint="eastAsia"/>
          <w:color w:val="auto"/>
          <w:spacing w:val="11"/>
          <w:lang w:eastAsia="zh-CN"/>
        </w:rPr>
        <w:t>，</w:t>
      </w:r>
      <w:r>
        <w:rPr>
          <w:color w:val="auto"/>
          <w:spacing w:val="11"/>
        </w:rPr>
        <w:t>其</w:t>
      </w:r>
      <w:r>
        <w:rPr>
          <w:color w:val="auto"/>
          <w:spacing w:val="10"/>
        </w:rPr>
        <w:t>他支出</w:t>
      </w:r>
      <w:r>
        <w:rPr>
          <w:rFonts w:hint="eastAsia"/>
          <w:color w:val="auto"/>
          <w:spacing w:val="10"/>
          <w:lang w:val="en-US" w:eastAsia="zh-CN"/>
        </w:rPr>
        <w:t>0</w:t>
      </w:r>
      <w:r>
        <w:rPr>
          <w:color w:val="auto"/>
          <w:spacing w:val="-4"/>
        </w:rPr>
        <w:t>万元。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4" w:line="600" w:lineRule="exact"/>
        <w:ind w:left="734"/>
        <w:textAlignment w:val="baseline"/>
        <w:rPr>
          <w:b/>
          <w:bCs/>
          <w:color w:val="auto"/>
          <w:spacing w:val="-2"/>
        </w:rPr>
      </w:pPr>
      <w:r>
        <w:rPr>
          <w:b/>
          <w:bCs/>
          <w:color w:val="auto"/>
          <w:spacing w:val="-2"/>
        </w:rPr>
        <w:t>政府性基金情况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600" w:lineRule="exact"/>
        <w:ind w:right="13" w:firstLine="648" w:firstLineChars="200"/>
        <w:jc w:val="both"/>
        <w:textAlignment w:val="baseline"/>
        <w:rPr>
          <w:rFonts w:ascii="Arial"/>
          <w:color w:val="auto"/>
          <w:sz w:val="21"/>
        </w:rPr>
      </w:pPr>
      <w:r>
        <w:rPr>
          <w:rFonts w:hint="eastAsia"/>
          <w:color w:val="auto"/>
          <w:spacing w:val="7"/>
          <w:lang w:eastAsia="zh-CN"/>
        </w:rPr>
        <w:t>本单位没有使用政府性基金预算拨款安排的支出。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left="734"/>
        <w:textAlignment w:val="baseline"/>
        <w:rPr>
          <w:color w:val="auto"/>
        </w:rPr>
      </w:pPr>
      <w:r>
        <w:rPr>
          <w:b/>
          <w:bCs/>
          <w:color w:val="auto"/>
          <w:spacing w:val="-1"/>
        </w:rPr>
        <w:t>(五)国有资本经营情况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600" w:lineRule="exact"/>
        <w:ind w:right="13" w:firstLine="648" w:firstLineChars="200"/>
        <w:jc w:val="both"/>
        <w:textAlignment w:val="baseline"/>
        <w:rPr>
          <w:rFonts w:hint="eastAsia"/>
          <w:color w:val="auto"/>
          <w:spacing w:val="7"/>
          <w:lang w:eastAsia="zh-CN"/>
        </w:rPr>
      </w:pPr>
      <w:r>
        <w:rPr>
          <w:rFonts w:hint="eastAsia"/>
          <w:color w:val="auto"/>
          <w:spacing w:val="7"/>
          <w:lang w:eastAsia="zh-CN"/>
        </w:rPr>
        <w:t>本单位没有使用国有资本经营预算拨款安排的支出。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1" w:line="600" w:lineRule="exact"/>
        <w:ind w:left="734"/>
        <w:textAlignment w:val="baseline"/>
        <w:rPr>
          <w:color w:val="auto"/>
        </w:rPr>
      </w:pPr>
      <w:r>
        <w:rPr>
          <w:b/>
          <w:bCs/>
          <w:color w:val="auto"/>
          <w:spacing w:val="2"/>
        </w:rPr>
        <w:t>(六)机关运行经费等重要事项的说明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2" w:line="600" w:lineRule="exact"/>
        <w:ind w:right="13" w:firstLine="648" w:firstLineChars="200"/>
        <w:jc w:val="both"/>
        <w:textAlignment w:val="baseline"/>
        <w:rPr>
          <w:rFonts w:hint="eastAsia" w:eastAsia="仿宋"/>
          <w:color w:val="auto"/>
          <w:lang w:eastAsia="zh-CN"/>
        </w:rPr>
      </w:pPr>
      <w:r>
        <w:rPr>
          <w:rFonts w:hint="eastAsia"/>
          <w:color w:val="auto"/>
          <w:spacing w:val="7"/>
          <w:lang w:eastAsia="zh-CN"/>
        </w:rPr>
        <w:t>本单位非行政</w:t>
      </w:r>
      <w:r>
        <w:rPr>
          <w:color w:val="auto"/>
          <w:spacing w:val="7"/>
        </w:rPr>
        <w:t>参公单位，无机关运行经费</w:t>
      </w:r>
      <w:r>
        <w:rPr>
          <w:rFonts w:hint="eastAsia"/>
          <w:color w:val="auto"/>
          <w:spacing w:val="7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3" w:line="600" w:lineRule="exact"/>
        <w:ind w:left="734"/>
        <w:textAlignment w:val="baseline"/>
        <w:rPr>
          <w:color w:val="auto"/>
        </w:rPr>
      </w:pPr>
      <w:r>
        <w:rPr>
          <w:b/>
          <w:bCs/>
          <w:color w:val="auto"/>
          <w:spacing w:val="-3"/>
        </w:rPr>
        <w:t>(七)政府采购情况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0" w:line="600" w:lineRule="exact"/>
        <w:ind w:left="29" w:right="15" w:firstLine="655"/>
        <w:textAlignment w:val="baseline"/>
        <w:rPr>
          <w:color w:val="auto"/>
        </w:rPr>
      </w:pPr>
      <w:r>
        <w:rPr>
          <w:rFonts w:hint="eastAsia"/>
          <w:color w:val="auto"/>
          <w:spacing w:val="11"/>
          <w:lang w:val="en-US" w:eastAsia="zh-CN"/>
        </w:rPr>
        <w:t>2024</w:t>
      </w:r>
      <w:r>
        <w:rPr>
          <w:color w:val="auto"/>
          <w:spacing w:val="11"/>
        </w:rPr>
        <w:t>年单位政府采购</w:t>
      </w:r>
      <w:r>
        <w:rPr>
          <w:rFonts w:hint="eastAsia"/>
          <w:color w:val="auto"/>
          <w:spacing w:val="11"/>
          <w:lang w:eastAsia="zh-CN"/>
        </w:rPr>
        <w:t>预算</w:t>
      </w:r>
      <w:r>
        <w:rPr>
          <w:color w:val="auto"/>
          <w:spacing w:val="11"/>
        </w:rPr>
        <w:t>总额</w:t>
      </w:r>
      <w:r>
        <w:rPr>
          <w:rFonts w:hint="eastAsia"/>
          <w:color w:val="auto"/>
          <w:spacing w:val="11"/>
          <w:lang w:val="en-US" w:eastAsia="zh-CN"/>
        </w:rPr>
        <w:t>6</w:t>
      </w:r>
      <w:r>
        <w:rPr>
          <w:color w:val="auto"/>
          <w:spacing w:val="11"/>
        </w:rPr>
        <w:t>万元,其中: 政</w:t>
      </w:r>
      <w:r>
        <w:rPr>
          <w:color w:val="auto"/>
          <w:spacing w:val="19"/>
        </w:rPr>
        <w:t>府采购货物预算</w:t>
      </w:r>
      <w:r>
        <w:rPr>
          <w:rFonts w:hint="eastAsia"/>
          <w:color w:val="auto"/>
          <w:spacing w:val="19"/>
          <w:lang w:val="en-US" w:eastAsia="zh-CN"/>
        </w:rPr>
        <w:t>6</w:t>
      </w:r>
      <w:r>
        <w:rPr>
          <w:color w:val="auto"/>
          <w:spacing w:val="19"/>
        </w:rPr>
        <w:t>万元, 政府采购工程预算</w:t>
      </w:r>
      <w:r>
        <w:rPr>
          <w:rFonts w:hint="eastAsia"/>
          <w:color w:val="auto"/>
          <w:spacing w:val="19"/>
          <w:lang w:val="en-US" w:eastAsia="zh-CN"/>
        </w:rPr>
        <w:t>0</w:t>
      </w:r>
      <w:r>
        <w:rPr>
          <w:rFonts w:hint="eastAsia"/>
          <w:color w:val="auto"/>
          <w:spacing w:val="19"/>
          <w:lang w:eastAsia="zh-CN"/>
        </w:rPr>
        <w:t>万</w:t>
      </w:r>
      <w:r>
        <w:rPr>
          <w:color w:val="auto"/>
          <w:spacing w:val="19"/>
        </w:rPr>
        <w:t>元,</w:t>
      </w:r>
      <w:r>
        <w:rPr>
          <w:color w:val="auto"/>
          <w:spacing w:val="4"/>
        </w:rPr>
        <w:t>政府采购服务预算</w:t>
      </w:r>
      <w:r>
        <w:rPr>
          <w:rFonts w:hint="eastAsia"/>
          <w:color w:val="auto"/>
          <w:spacing w:val="4"/>
          <w:lang w:val="en-US" w:eastAsia="zh-CN"/>
        </w:rPr>
        <w:t>0</w:t>
      </w:r>
      <w:r>
        <w:rPr>
          <w:color w:val="auto"/>
          <w:spacing w:val="4"/>
        </w:rPr>
        <w:t>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line="600" w:lineRule="exact"/>
        <w:ind w:left="734"/>
        <w:textAlignment w:val="baseline"/>
        <w:rPr>
          <w:color w:val="auto"/>
        </w:rPr>
      </w:pPr>
      <w:r>
        <w:rPr>
          <w:b/>
          <w:bCs/>
          <w:color w:val="auto"/>
        </w:rPr>
        <w:t>(八)国有资产占有使用情况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600" w:lineRule="exact"/>
        <w:ind w:left="27" w:right="16" w:firstLine="644"/>
        <w:jc w:val="both"/>
        <w:textAlignment w:val="baseline"/>
      </w:pPr>
      <w:r>
        <w:rPr>
          <w:spacing w:val="-1"/>
        </w:rPr>
        <w:t>截至</w:t>
      </w:r>
      <w:r>
        <w:rPr>
          <w:rFonts w:hint="eastAsia"/>
          <w:spacing w:val="-1"/>
          <w:lang w:val="en-US" w:eastAsia="zh-CN"/>
        </w:rPr>
        <w:t>2023</w:t>
      </w:r>
      <w:r>
        <w:rPr>
          <w:spacing w:val="-1"/>
        </w:rPr>
        <w:t>年7</w:t>
      </w:r>
      <w:r>
        <w:rPr>
          <w:spacing w:val="-43"/>
        </w:rPr>
        <w:t xml:space="preserve"> </w:t>
      </w:r>
      <w:r>
        <w:rPr>
          <w:spacing w:val="-1"/>
        </w:rPr>
        <w:t>月</w:t>
      </w:r>
      <w:r>
        <w:rPr>
          <w:spacing w:val="-36"/>
        </w:rPr>
        <w:t xml:space="preserve"> </w:t>
      </w:r>
      <w:r>
        <w:rPr>
          <w:spacing w:val="-1"/>
        </w:rPr>
        <w:t>31 日（各级财政编制部门预算基</w:t>
      </w:r>
      <w:r>
        <w:rPr>
          <w:spacing w:val="13"/>
        </w:rPr>
        <w:t>础信息上报截止时间）, 单位共有车辆</w:t>
      </w:r>
      <w:r>
        <w:rPr>
          <w:rFonts w:hint="eastAsia"/>
          <w:spacing w:val="13"/>
          <w:lang w:val="en-US" w:eastAsia="zh-CN"/>
        </w:rPr>
        <w:t>0</w:t>
      </w:r>
      <w:r>
        <w:rPr>
          <w:spacing w:val="-143"/>
        </w:rPr>
        <w:t xml:space="preserve"> </w:t>
      </w:r>
      <w:r>
        <w:rPr>
          <w:spacing w:val="13"/>
        </w:rPr>
        <w:t>辆,其中：一般</w:t>
      </w:r>
      <w:r>
        <w:rPr>
          <w:spacing w:val="6"/>
        </w:rPr>
        <w:t>公务用车实有数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firstLine="652" w:firstLineChars="200"/>
        <w:textAlignment w:val="baseline"/>
      </w:pPr>
      <w:r>
        <w:rPr>
          <w:spacing w:val="8"/>
        </w:rPr>
        <w:t>202</w:t>
      </w:r>
      <w:r>
        <w:rPr>
          <w:rFonts w:hint="eastAsia"/>
          <w:spacing w:val="8"/>
          <w:lang w:val="en-US" w:eastAsia="zh-CN"/>
        </w:rPr>
        <w:t>4</w:t>
      </w:r>
      <w:r>
        <w:rPr>
          <w:spacing w:val="-44"/>
        </w:rPr>
        <w:t xml:space="preserve"> </w:t>
      </w:r>
      <w:r>
        <w:rPr>
          <w:spacing w:val="8"/>
        </w:rPr>
        <w:t>年单位预算安排购置车辆</w:t>
      </w:r>
      <w:r>
        <w:rPr>
          <w:rFonts w:hint="eastAsia"/>
          <w:spacing w:val="8"/>
          <w:lang w:val="en-US" w:eastAsia="zh-CN"/>
        </w:rPr>
        <w:t>0</w:t>
      </w:r>
      <w:r>
        <w:rPr>
          <w:spacing w:val="-138"/>
        </w:rPr>
        <w:t xml:space="preserve"> </w:t>
      </w:r>
      <w:r>
        <w:rPr>
          <w:spacing w:val="8"/>
        </w:rPr>
        <w:t>辆，</w:t>
      </w:r>
      <w:r>
        <w:rPr>
          <w:rFonts w:hint="eastAsia"/>
          <w:spacing w:val="8"/>
          <w:lang w:eastAsia="zh-CN"/>
        </w:rPr>
        <w:t>未</w:t>
      </w:r>
      <w:r>
        <w:rPr>
          <w:spacing w:val="8"/>
        </w:rPr>
        <w:t>安排购置单位</w:t>
      </w:r>
      <w:r>
        <w:rPr>
          <w:spacing w:val="4"/>
        </w:rPr>
        <w:t>价值</w:t>
      </w:r>
      <w:r>
        <w:rPr>
          <w:spacing w:val="-30"/>
        </w:rPr>
        <w:t xml:space="preserve"> </w:t>
      </w:r>
      <w:r>
        <w:rPr>
          <w:spacing w:val="4"/>
        </w:rPr>
        <w:t>200</w:t>
      </w:r>
      <w:r>
        <w:rPr>
          <w:spacing w:val="-47"/>
        </w:rPr>
        <w:t xml:space="preserve"> </w:t>
      </w:r>
      <w:r>
        <w:rPr>
          <w:spacing w:val="4"/>
        </w:rPr>
        <w:t>万元以上大型设备。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6" w:line="600" w:lineRule="exact"/>
        <w:ind w:left="659"/>
        <w:textAlignment w:val="baseline"/>
        <w:rPr>
          <w:rFonts w:hint="eastAsia"/>
          <w:b/>
          <w:bCs/>
          <w:spacing w:val="5"/>
          <w:lang w:val="en-US" w:eastAsia="zh-CN"/>
        </w:rPr>
      </w:pPr>
      <w:r>
        <w:rPr>
          <w:b/>
          <w:bCs/>
          <w:spacing w:val="5"/>
        </w:rPr>
        <w:t>（九）项目情况说明</w:t>
      </w:r>
      <w:r>
        <w:rPr>
          <w:rFonts w:hint="eastAsia"/>
          <w:b/>
          <w:bCs/>
          <w:spacing w:val="5"/>
          <w:lang w:val="en-US" w:eastAsia="zh-CN"/>
        </w:rPr>
        <w:t xml:space="preserve">      </w:t>
      </w:r>
    </w:p>
    <w:p>
      <w:pPr>
        <w:pStyle w:val="4"/>
        <w:widowControl/>
        <w:shd w:val="clear" w:color="auto" w:fill="FFFFFF"/>
        <w:wordWrap w:val="0"/>
        <w:spacing w:before="0" w:beforeAutospacing="0" w:after="0" w:afterAutospacing="0" w:line="600" w:lineRule="atLeast"/>
        <w:ind w:firstLine="560"/>
        <w:rPr>
          <w:rFonts w:hint="eastAsia" w:ascii="宋体" w:hAnsi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本单位本年度未安排项目。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left="23" w:firstLine="630" w:firstLineChars="200"/>
        <w:textAlignment w:val="baseline"/>
        <w:rPr>
          <w:rFonts w:ascii="楷体" w:hAnsi="楷体" w:eastAsia="楷体" w:cs="楷体"/>
        </w:rPr>
      </w:pPr>
      <w:r>
        <w:rPr>
          <w:rFonts w:ascii="楷体" w:hAnsi="楷体" w:eastAsia="楷体" w:cs="楷体"/>
          <w:b/>
          <w:bCs/>
          <w:spacing w:val="2"/>
        </w:rPr>
        <w:t>二、</w:t>
      </w:r>
      <w:r>
        <w:rPr>
          <w:rFonts w:hint="eastAsia" w:eastAsia="楷体"/>
          <w:b/>
          <w:bCs/>
          <w:spacing w:val="2"/>
          <w:lang w:val="en-US" w:eastAsia="zh-CN"/>
        </w:rPr>
        <w:t>2024</w:t>
      </w:r>
      <w:r>
        <w:rPr>
          <w:rFonts w:ascii="楷体" w:hAnsi="楷体" w:eastAsia="楷体" w:cs="楷体"/>
          <w:b/>
          <w:bCs/>
          <w:spacing w:val="2"/>
        </w:rPr>
        <w:t>年</w:t>
      </w:r>
      <w:r>
        <w:rPr>
          <w:rFonts w:ascii="楷体" w:hAnsi="楷体" w:eastAsia="楷体" w:cs="楷体"/>
          <w:spacing w:val="-103"/>
        </w:rPr>
        <w:t xml:space="preserve"> </w:t>
      </w:r>
      <w:r>
        <w:rPr>
          <w:rFonts w:ascii="楷体" w:hAnsi="楷体" w:eastAsia="楷体" w:cs="楷体"/>
          <w:b/>
          <w:bCs/>
          <w:spacing w:val="2"/>
        </w:rPr>
        <w:t>“三公</w:t>
      </w:r>
      <w:r>
        <w:rPr>
          <w:rFonts w:ascii="Calibri" w:hAnsi="Calibri" w:eastAsia="Calibri" w:cs="Calibri"/>
          <w:b/>
          <w:bCs/>
          <w:spacing w:val="2"/>
        </w:rPr>
        <w:t>”</w:t>
      </w:r>
      <w:r>
        <w:rPr>
          <w:rFonts w:ascii="Calibri" w:hAnsi="Calibri" w:eastAsia="Calibri" w:cs="Calibri"/>
          <w:b/>
          <w:bCs/>
          <w:spacing w:val="-49"/>
        </w:rPr>
        <w:t xml:space="preserve"> </w:t>
      </w:r>
      <w:r>
        <w:rPr>
          <w:rFonts w:ascii="楷体" w:hAnsi="楷体" w:eastAsia="楷体" w:cs="楷体"/>
          <w:b/>
          <w:bCs/>
          <w:spacing w:val="2"/>
        </w:rPr>
        <w:t>经费预算情况说明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line="600" w:lineRule="exact"/>
        <w:ind w:firstLine="628" w:firstLineChars="200"/>
        <w:jc w:val="both"/>
        <w:textAlignment w:val="baseline"/>
      </w:pPr>
      <w:r>
        <w:rPr>
          <w:rFonts w:hint="eastAsia"/>
          <w:spacing w:val="2"/>
          <w:lang w:val="en-US" w:eastAsia="zh-CN"/>
        </w:rPr>
        <w:t>2024</w:t>
      </w:r>
      <w:r>
        <w:rPr>
          <w:spacing w:val="2"/>
        </w:rPr>
        <w:t>单位为"三公"经费</w:t>
      </w:r>
      <w:r>
        <w:rPr>
          <w:rFonts w:hint="eastAsia"/>
          <w:spacing w:val="2"/>
          <w:lang w:eastAsia="zh-CN"/>
        </w:rPr>
        <w:t>预算</w:t>
      </w:r>
      <w:r>
        <w:rPr>
          <w:spacing w:val="2"/>
        </w:rPr>
        <w:t>安排</w:t>
      </w:r>
      <w:r>
        <w:rPr>
          <w:rFonts w:hint="eastAsia"/>
          <w:spacing w:val="2"/>
          <w:lang w:val="en-US" w:eastAsia="zh-CN"/>
        </w:rPr>
        <w:t>1.8</w:t>
      </w:r>
      <w:r>
        <w:rPr>
          <w:spacing w:val="2"/>
        </w:rPr>
        <w:t>万元，其中：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right="16" w:firstLine="632" w:firstLineChars="200"/>
        <w:jc w:val="both"/>
        <w:textAlignment w:val="baseline"/>
      </w:pPr>
      <w:r>
        <w:rPr>
          <w:spacing w:val="3"/>
        </w:rPr>
        <w:t>因公出国（境）费</w:t>
      </w:r>
      <w:r>
        <w:rPr>
          <w:rFonts w:hint="eastAsia"/>
          <w:spacing w:val="3"/>
          <w:lang w:val="en-US" w:eastAsia="zh-CN"/>
        </w:rPr>
        <w:t>0</w:t>
      </w:r>
      <w:r>
        <w:rPr>
          <w:spacing w:val="-124"/>
        </w:rPr>
        <w:t xml:space="preserve"> </w:t>
      </w:r>
      <w:r>
        <w:rPr>
          <w:spacing w:val="3"/>
        </w:rPr>
        <w:t>万元,比上年增</w:t>
      </w:r>
      <w:r>
        <w:rPr>
          <w:rFonts w:hint="eastAsia"/>
          <w:spacing w:val="3"/>
          <w:lang w:eastAsia="zh-CN"/>
        </w:rPr>
        <w:t>加</w:t>
      </w:r>
      <w:r>
        <w:rPr>
          <w:rFonts w:hint="eastAsia"/>
          <w:spacing w:val="3"/>
          <w:lang w:val="en-US" w:eastAsia="zh-CN"/>
        </w:rPr>
        <w:t>0</w:t>
      </w:r>
      <w:r>
        <w:rPr>
          <w:spacing w:val="3"/>
        </w:rPr>
        <w:t>万元，</w:t>
      </w:r>
      <w:r>
        <w:rPr>
          <w:rFonts w:hint="eastAsia"/>
          <w:spacing w:val="3"/>
          <w:lang w:eastAsia="zh-CN"/>
        </w:rPr>
        <w:t>主要原因：与上年安排保持一致。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8" w:line="600" w:lineRule="exact"/>
        <w:ind w:firstLine="644" w:firstLineChars="200"/>
        <w:textAlignment w:val="baseline"/>
      </w:pPr>
      <w:r>
        <w:rPr>
          <w:spacing w:val="6"/>
        </w:rPr>
        <w:t>公务接待费</w:t>
      </w:r>
      <w:r>
        <w:rPr>
          <w:rFonts w:hint="eastAsia"/>
          <w:spacing w:val="6"/>
          <w:lang w:val="en-US" w:eastAsia="zh-CN"/>
        </w:rPr>
        <w:t>1.8</w:t>
      </w:r>
      <w:r>
        <w:rPr>
          <w:spacing w:val="6"/>
        </w:rPr>
        <w:t>万元,比上年减</w:t>
      </w:r>
      <w:r>
        <w:rPr>
          <w:rFonts w:hint="eastAsia"/>
          <w:spacing w:val="6"/>
          <w:lang w:eastAsia="zh-CN"/>
        </w:rPr>
        <w:t>少</w:t>
      </w:r>
      <w:r>
        <w:rPr>
          <w:rFonts w:hint="eastAsia"/>
          <w:spacing w:val="6"/>
          <w:lang w:val="en-US" w:eastAsia="zh-CN"/>
        </w:rPr>
        <w:t>0.2</w:t>
      </w:r>
      <w:r>
        <w:rPr>
          <w:spacing w:val="5"/>
        </w:rPr>
        <w:t>万元，主要</w:t>
      </w:r>
      <w:r>
        <w:rPr>
          <w:spacing w:val="-1"/>
        </w:rPr>
        <w:t>原因</w:t>
      </w:r>
      <w:r>
        <w:rPr>
          <w:rFonts w:hint="eastAsia"/>
          <w:spacing w:val="-1"/>
          <w:lang w:eastAsia="zh-CN"/>
        </w:rPr>
        <w:t>：压减三公支出</w:t>
      </w:r>
      <w:r>
        <w:rPr>
          <w:spacing w:val="-1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right="16" w:firstLine="644" w:firstLineChars="200"/>
        <w:jc w:val="both"/>
        <w:textAlignment w:val="baseline"/>
        <w:rPr>
          <w:rFonts w:hint="eastAsia" w:eastAsia="仿宋"/>
          <w:lang w:eastAsia="zh-CN"/>
        </w:rPr>
      </w:pPr>
      <w:r>
        <w:rPr>
          <w:spacing w:val="6"/>
        </w:rPr>
        <w:t>公务用车运行维护费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万元,比上年增</w:t>
      </w:r>
      <w:r>
        <w:rPr>
          <w:rFonts w:hint="eastAsia"/>
          <w:spacing w:val="6"/>
          <w:lang w:eastAsia="zh-CN"/>
        </w:rPr>
        <w:t>加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-125"/>
        </w:rPr>
        <w:t xml:space="preserve"> </w:t>
      </w:r>
      <w:r>
        <w:rPr>
          <w:spacing w:val="6"/>
        </w:rPr>
        <w:t>万</w:t>
      </w:r>
      <w:r>
        <w:rPr>
          <w:spacing w:val="4"/>
        </w:rPr>
        <w:t>元</w:t>
      </w:r>
      <w:r>
        <w:rPr>
          <w:rFonts w:hint="eastAsia"/>
          <w:spacing w:val="4"/>
          <w:lang w:eastAsia="zh-CN"/>
        </w:rPr>
        <w:t>，</w:t>
      </w:r>
      <w:r>
        <w:rPr>
          <w:rFonts w:hint="eastAsia"/>
          <w:spacing w:val="3"/>
          <w:lang w:eastAsia="zh-CN"/>
        </w:rPr>
        <w:t>主要原因：与上年安排保持一致。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right="16" w:firstLine="644" w:firstLineChars="200"/>
        <w:jc w:val="both"/>
        <w:textAlignment w:val="baseline"/>
        <w:rPr>
          <w:rFonts w:hint="eastAsia" w:eastAsia="仿宋"/>
          <w:lang w:eastAsia="zh-CN"/>
        </w:rPr>
      </w:pPr>
      <w:r>
        <w:rPr>
          <w:spacing w:val="6"/>
        </w:rPr>
        <w:t>公务用车购置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万元,比上年增</w:t>
      </w:r>
      <w:r>
        <w:rPr>
          <w:rFonts w:hint="eastAsia"/>
          <w:spacing w:val="6"/>
          <w:lang w:eastAsia="zh-CN"/>
        </w:rPr>
        <w:t>加</w:t>
      </w:r>
      <w:r>
        <w:rPr>
          <w:rFonts w:hint="eastAsia"/>
          <w:spacing w:val="6"/>
          <w:lang w:val="en-US" w:eastAsia="zh-CN"/>
        </w:rPr>
        <w:t>0</w:t>
      </w:r>
      <w:r>
        <w:rPr>
          <w:spacing w:val="6"/>
        </w:rPr>
        <w:t>万元</w:t>
      </w:r>
      <w:r>
        <w:rPr>
          <w:rFonts w:hint="eastAsia"/>
          <w:spacing w:val="4"/>
          <w:lang w:eastAsia="zh-CN"/>
        </w:rPr>
        <w:t>，</w:t>
      </w:r>
      <w:r>
        <w:rPr>
          <w:rFonts w:hint="eastAsia"/>
          <w:spacing w:val="3"/>
          <w:lang w:eastAsia="zh-CN"/>
        </w:rPr>
        <w:t>主要原因：与上年安排保持一致。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sectPr>
          <w:pgSz w:w="11906" w:h="16839"/>
          <w:pgMar w:top="400" w:right="1569" w:bottom="400" w:left="1785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left="2992"/>
        <w:textAlignment w:val="baseline"/>
      </w:pPr>
      <w:r>
        <w:rPr>
          <w:b/>
          <w:bCs/>
          <w:spacing w:val="4"/>
        </w:rPr>
        <w:t>第四部分</w:t>
      </w:r>
      <w:r>
        <w:rPr>
          <w:spacing w:val="4"/>
        </w:rPr>
        <w:t xml:space="preserve">   </w:t>
      </w:r>
      <w:r>
        <w:rPr>
          <w:b/>
          <w:bCs/>
          <w:spacing w:val="4"/>
        </w:rPr>
        <w:t>名词解释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8" w:line="600" w:lineRule="exact"/>
        <w:ind w:left="845"/>
        <w:textAlignment w:val="baseline"/>
      </w:pPr>
      <w:r>
        <w:rPr>
          <w:spacing w:val="4"/>
        </w:rPr>
        <w:t>一、收入科目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0" w:line="600" w:lineRule="exact"/>
        <w:ind w:left="659"/>
        <w:textAlignment w:val="baseline"/>
      </w:pPr>
      <w:r>
        <w:rPr>
          <w:spacing w:val="5"/>
        </w:rPr>
        <w:t>（</w:t>
      </w:r>
      <w:r>
        <w:rPr>
          <w:spacing w:val="-68"/>
        </w:rPr>
        <w:t xml:space="preserve"> </w:t>
      </w:r>
      <w:r>
        <w:rPr>
          <w:spacing w:val="5"/>
        </w:rPr>
        <w:t>一）财政拨款：指</w:t>
      </w:r>
      <w:r>
        <w:rPr>
          <w:rFonts w:hint="eastAsia"/>
          <w:spacing w:val="5"/>
          <w:lang w:eastAsia="zh-CN"/>
        </w:rPr>
        <w:t>区</w:t>
      </w:r>
      <w:r>
        <w:rPr>
          <w:spacing w:val="5"/>
        </w:rPr>
        <w:t>级财政当年拨付的资金。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7" w:line="600" w:lineRule="exact"/>
        <w:ind w:left="34" w:right="14" w:firstLine="625"/>
        <w:textAlignment w:val="baseline"/>
      </w:pPr>
      <w:r>
        <w:rPr>
          <w:spacing w:val="6"/>
        </w:rPr>
        <w:t>（</w:t>
      </w:r>
      <w:r>
        <w:rPr>
          <w:spacing w:val="-80"/>
        </w:rPr>
        <w:t xml:space="preserve"> </w:t>
      </w:r>
      <w:r>
        <w:rPr>
          <w:spacing w:val="6"/>
        </w:rPr>
        <w:t>二）教育收费资金收入：反映实行专项管理的高中以</w:t>
      </w:r>
      <w:r>
        <w:t xml:space="preserve"> </w:t>
      </w:r>
      <w:r>
        <w:rPr>
          <w:spacing w:val="8"/>
        </w:rPr>
        <w:t>上学费、住宿费，高校委托培养费，函大、电大、夜大及短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34"/>
        <w:textAlignment w:val="baseline"/>
      </w:pPr>
      <w:r>
        <w:rPr>
          <w:spacing w:val="8"/>
        </w:rPr>
        <w:t>训班培训费等教育收费取得的收入。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600" w:lineRule="exact"/>
        <w:ind w:right="16"/>
        <w:jc w:val="right"/>
        <w:textAlignment w:val="baseline"/>
      </w:pPr>
      <w:r>
        <w:rPr>
          <w:spacing w:val="9"/>
          <w:position w:val="21"/>
        </w:rPr>
        <w:t>（三）事业收入：指事业单位开展专业业务活动及辅助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44"/>
        <w:textAlignment w:val="baseline"/>
      </w:pPr>
      <w:r>
        <w:rPr>
          <w:spacing w:val="4"/>
        </w:rPr>
        <w:t>活动取得的收入。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600" w:lineRule="exact"/>
        <w:ind w:right="14"/>
        <w:jc w:val="right"/>
        <w:textAlignment w:val="baseline"/>
      </w:pPr>
      <w:r>
        <w:rPr>
          <w:spacing w:val="9"/>
          <w:position w:val="21"/>
        </w:rPr>
        <w:t>（四）事业单位经营收入：指事业单位在专业业务活动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2"/>
        <w:textAlignment w:val="baseline"/>
      </w:pPr>
      <w:r>
        <w:rPr>
          <w:spacing w:val="9"/>
        </w:rPr>
        <w:t>及辅助活动之外开展非独立核算经营活动取得的收入。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600" w:lineRule="exact"/>
        <w:ind w:left="36" w:right="14" w:firstLine="618"/>
        <w:textAlignment w:val="baseline"/>
      </w:pPr>
      <w:r>
        <w:rPr>
          <w:spacing w:val="9"/>
        </w:rPr>
        <w:t>（五）附属单位上缴收入：反映事业单位附属的独立核</w:t>
      </w:r>
      <w:r>
        <w:rPr>
          <w:spacing w:val="8"/>
        </w:rPr>
        <w:t xml:space="preserve"> 算单位按规定标准或比例缴纳的各项收入。包括附属的事业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4"/>
        <w:textAlignment w:val="baseline"/>
      </w:pPr>
      <w:r>
        <w:rPr>
          <w:spacing w:val="8"/>
        </w:rPr>
        <w:t>单位上缴的收入和附属的企业上缴的利润等。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600" w:lineRule="exact"/>
        <w:ind w:right="16"/>
        <w:jc w:val="right"/>
        <w:textAlignment w:val="baseline"/>
      </w:pPr>
      <w:r>
        <w:rPr>
          <w:spacing w:val="9"/>
          <w:position w:val="21"/>
        </w:rPr>
        <w:t>（六）上级补助收入：反映事业单位从主管部门和上级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4"/>
        <w:textAlignment w:val="baseline"/>
      </w:pPr>
      <w:r>
        <w:rPr>
          <w:spacing w:val="7"/>
        </w:rPr>
        <w:t>单位取得的非财政补助收入。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9" w:line="600" w:lineRule="exact"/>
        <w:ind w:right="16"/>
        <w:jc w:val="right"/>
        <w:textAlignment w:val="baseline"/>
      </w:pPr>
      <w:r>
        <w:rPr>
          <w:spacing w:val="9"/>
          <w:position w:val="21"/>
        </w:rPr>
        <w:t>（七）其他收入：指除财政拨款、事业收入、事业单位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left="34"/>
        <w:textAlignment w:val="baseline"/>
      </w:pPr>
      <w:r>
        <w:rPr>
          <w:spacing w:val="7"/>
        </w:rPr>
        <w:t>经营收入等以外的各项收入。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left="26"/>
        <w:textAlignment w:val="baseline"/>
      </w:pPr>
      <w:r>
        <w:rPr>
          <w:spacing w:val="9"/>
        </w:rPr>
        <w:t>（八）使用非财政拨款结余：填列历年滚存的非限定用</w:t>
      </w:r>
      <w:r>
        <w:rPr>
          <w:spacing w:val="8"/>
        </w:rPr>
        <w:t>途的非统计财政拨款结余弥补</w:t>
      </w:r>
      <w:r>
        <w:rPr>
          <w:rFonts w:hint="eastAsia"/>
          <w:spacing w:val="8"/>
          <w:lang w:val="en-US" w:eastAsia="zh-CN"/>
        </w:rPr>
        <w:t>上</w:t>
      </w:r>
      <w:r>
        <w:rPr>
          <w:spacing w:val="8"/>
        </w:rPr>
        <w:t>年收支差额的数额。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5" w:line="600" w:lineRule="exact"/>
        <w:ind w:left="36" w:right="153" w:firstLine="622"/>
        <w:jc w:val="both"/>
        <w:textAlignment w:val="baseline"/>
      </w:pPr>
      <w:r>
        <w:rPr>
          <w:spacing w:val="9"/>
        </w:rPr>
        <w:t>（九）上年结转和结余：填列上年</w:t>
      </w:r>
      <w:r>
        <w:rPr>
          <w:spacing w:val="8"/>
        </w:rPr>
        <w:t>全部结转和结余的资金数，包括当年结转结余资金和历年滚存结转结余</w:t>
      </w:r>
      <w:r>
        <w:rPr>
          <w:spacing w:val="-3"/>
        </w:rPr>
        <w:t>资</w:t>
      </w:r>
      <w:r>
        <w:rPr>
          <w:rFonts w:hint="eastAsia"/>
          <w:spacing w:val="-3"/>
          <w:lang w:eastAsia="zh-CN"/>
        </w:rPr>
        <w:t>金。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left="684"/>
        <w:textAlignment w:val="baseline"/>
      </w:pPr>
      <w:r>
        <w:rPr>
          <w:spacing w:val="4"/>
        </w:rPr>
        <w:t>二、支出科目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4" w:line="600" w:lineRule="exact"/>
        <w:ind w:right="72" w:firstLine="652" w:firstLineChars="200"/>
        <w:textAlignment w:val="baseline"/>
        <w:rPr>
          <w:rFonts w:ascii="Arial"/>
          <w:sz w:val="21"/>
        </w:rPr>
      </w:pPr>
      <w:r>
        <w:rPr>
          <w:spacing w:val="8"/>
        </w:rPr>
        <w:t>对部门预算中涉及的支出功能分类科目（明细到项级</w:t>
      </w:r>
      <w:r>
        <w:rPr>
          <w:rFonts w:hint="eastAsia"/>
          <w:spacing w:val="8"/>
          <w:lang w:eastAsia="zh-CN"/>
        </w:rPr>
        <w:t>）</w:t>
      </w:r>
      <w:r>
        <w:rPr>
          <w:spacing w:val="-80"/>
          <w:w w:val="92"/>
        </w:rPr>
        <w:t>，</w:t>
      </w:r>
      <w:r>
        <w:rPr>
          <w:spacing w:val="2"/>
        </w:rPr>
        <w:t xml:space="preserve"> </w:t>
      </w:r>
      <w:r>
        <w:rPr>
          <w:spacing w:val="8"/>
        </w:rPr>
        <w:t>结合部门实际，参照《</w:t>
      </w:r>
      <w:r>
        <w:rPr>
          <w:rFonts w:hint="eastAsia"/>
          <w:spacing w:val="8"/>
          <w:lang w:val="en-US" w:eastAsia="zh-CN"/>
        </w:rPr>
        <w:t>2024</w:t>
      </w:r>
      <w:r>
        <w:rPr>
          <w:spacing w:val="8"/>
        </w:rPr>
        <w:t>年政府收支分类科目》的规范说明</w:t>
      </w:r>
      <w:r>
        <w:rPr>
          <w:spacing w:val="5"/>
        </w:rPr>
        <w:t>进行解释。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600" w:lineRule="exact"/>
        <w:ind w:left="690"/>
        <w:textAlignment w:val="baseline"/>
      </w:pPr>
      <w:r>
        <w:rPr>
          <w:spacing w:val="5"/>
        </w:rPr>
        <w:t>三、相关专业名词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7" w:line="600" w:lineRule="exact"/>
        <w:ind w:left="21" w:right="58" w:firstLine="637"/>
        <w:textAlignment w:val="baseline"/>
      </w:pPr>
      <w:r>
        <w:rPr>
          <w:spacing w:val="6"/>
        </w:rPr>
        <w:t>（</w:t>
      </w:r>
      <w:r>
        <w:rPr>
          <w:spacing w:val="-79"/>
        </w:rPr>
        <w:t xml:space="preserve"> </w:t>
      </w:r>
      <w:r>
        <w:rPr>
          <w:spacing w:val="6"/>
        </w:rPr>
        <w:t>一）机关运行费：指用财政拨款安排的为保障行政单</w:t>
      </w:r>
      <w:r>
        <w:t xml:space="preserve"> </w:t>
      </w:r>
      <w:r>
        <w:rPr>
          <w:spacing w:val="9"/>
        </w:rPr>
        <w:t>位（含参照公务员法管理的事业单位）运行用于购买货物和</w:t>
      </w:r>
      <w:r>
        <w:rPr>
          <w:spacing w:val="3"/>
        </w:rPr>
        <w:t xml:space="preserve"> </w:t>
      </w:r>
      <w:r>
        <w:rPr>
          <w:spacing w:val="8"/>
        </w:rPr>
        <w:t>服务的各项资金，包括办公费、</w:t>
      </w:r>
      <w:r>
        <w:rPr>
          <w:spacing w:val="-84"/>
        </w:rPr>
        <w:t xml:space="preserve"> </w:t>
      </w:r>
      <w:r>
        <w:rPr>
          <w:spacing w:val="8"/>
        </w:rPr>
        <w:t>印刷费、邮电费、差旅费、</w:t>
      </w:r>
      <w:r>
        <w:t xml:space="preserve"> </w:t>
      </w:r>
      <w:r>
        <w:rPr>
          <w:spacing w:val="1"/>
        </w:rPr>
        <w:t>会议费、福利费、日常维修费、专用材料及一般设备</w:t>
      </w:r>
      <w:r>
        <w:t xml:space="preserve">购置费、 </w:t>
      </w:r>
      <w:r>
        <w:rPr>
          <w:spacing w:val="9"/>
        </w:rPr>
        <w:t>办公用房水电费、办公用房取暖费、办公用房物业管理费、</w:t>
      </w:r>
      <w:r>
        <w:rPr>
          <w:spacing w:val="8"/>
        </w:rPr>
        <w:t>公务用车运行维护费以及其他费用。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3" w:line="600" w:lineRule="exact"/>
        <w:ind w:left="40" w:firstLine="619"/>
        <w:textAlignment w:val="baseline"/>
        <w:rPr>
          <w:rFonts w:hint="eastAsia" w:eastAsia="仿宋"/>
          <w:lang w:eastAsia="zh-CN"/>
        </w:rPr>
        <w:sectPr>
          <w:pgSz w:w="11906" w:h="16839"/>
          <w:pgMar w:top="400" w:right="1785" w:bottom="400" w:left="1785" w:header="0" w:footer="0" w:gutter="0"/>
          <w:cols w:space="720" w:num="1"/>
        </w:sectPr>
      </w:pPr>
      <w:r>
        <w:rPr>
          <w:spacing w:val="-13"/>
        </w:rPr>
        <w:t>（</w:t>
      </w:r>
      <w:r>
        <w:rPr>
          <w:spacing w:val="-64"/>
        </w:rPr>
        <w:t xml:space="preserve"> </w:t>
      </w:r>
      <w:r>
        <w:rPr>
          <w:spacing w:val="-13"/>
        </w:rPr>
        <w:t>二）“三公”经费：指用财政拨款安排的因公出国（境）</w:t>
      </w:r>
      <w:r>
        <w:t xml:space="preserve"> </w:t>
      </w:r>
      <w:r>
        <w:rPr>
          <w:spacing w:val="8"/>
        </w:rPr>
        <w:t>费、公务用车购置及运行维护费和公务接待费。其中，因公</w:t>
      </w:r>
      <w:r>
        <w:rPr>
          <w:spacing w:val="4"/>
        </w:rPr>
        <w:t xml:space="preserve">  </w:t>
      </w:r>
      <w:r>
        <w:rPr>
          <w:spacing w:val="8"/>
        </w:rPr>
        <w:t>出国（境）费反映单位公务出国（境）的国际旅费、国外城</w:t>
      </w:r>
      <w:r>
        <w:rPr>
          <w:spacing w:val="5"/>
        </w:rPr>
        <w:t xml:space="preserve">  </w:t>
      </w:r>
      <w:r>
        <w:rPr>
          <w:spacing w:val="8"/>
        </w:rPr>
        <w:t>市间交通费、住宿费、伙食费、培训费、公杂费等支出；公</w:t>
      </w:r>
      <w:r>
        <w:rPr>
          <w:spacing w:val="9"/>
        </w:rPr>
        <w:t>务用车购置及运行维护费反映单位公务用车车辆购置支出</w:t>
      </w:r>
      <w:r>
        <w:rPr>
          <w:spacing w:val="8"/>
        </w:rPr>
        <w:t>（含车辆购置税、牌照费</w:t>
      </w:r>
      <w:r>
        <w:rPr>
          <w:spacing w:val="-61"/>
        </w:rPr>
        <w:t>），</w:t>
      </w:r>
      <w:r>
        <w:rPr>
          <w:spacing w:val="8"/>
        </w:rPr>
        <w:t>按规定保留的公务用车燃料费、</w:t>
      </w:r>
      <w:r>
        <w:rPr>
          <w:spacing w:val="9"/>
        </w:rPr>
        <w:t>维修费、过桥过路费、保险费、安全奖励费用等支出；公</w:t>
      </w:r>
      <w:r>
        <w:rPr>
          <w:rFonts w:hint="eastAsia"/>
          <w:spacing w:val="9"/>
          <w:lang w:eastAsia="zh-CN"/>
        </w:rPr>
        <w:t>务接待费反映单位按规定开支的各类公务接待（含外宾接待）支出。</w:t>
      </w:r>
    </w:p>
    <w:p>
      <w:r>
        <w:drawing>
          <wp:inline distT="0" distB="0" distL="114300" distR="114300">
            <wp:extent cx="5798185" cy="5993765"/>
            <wp:effectExtent l="0" t="0" r="1079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98185" cy="599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/>
    <w:p>
      <w:r>
        <w:drawing>
          <wp:inline distT="0" distB="0" distL="114300" distR="114300">
            <wp:extent cx="8569325" cy="1778000"/>
            <wp:effectExtent l="0" t="0" r="508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6932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8584565" cy="2660015"/>
            <wp:effectExtent l="0" t="0" r="698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84565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927090" cy="5654040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27090" cy="565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/>
    <w:p>
      <w:r>
        <w:drawing>
          <wp:inline distT="0" distB="0" distL="114300" distR="114300">
            <wp:extent cx="8214995" cy="2545715"/>
            <wp:effectExtent l="0" t="0" r="1460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14995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7183120" cy="5699125"/>
            <wp:effectExtent l="0" t="0" r="635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83120" cy="569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>
      <w:r>
        <w:drawing>
          <wp:inline distT="0" distB="0" distL="114300" distR="114300">
            <wp:extent cx="8630285" cy="1210945"/>
            <wp:effectExtent l="0" t="0" r="8255" b="1079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3028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8740140" cy="1685290"/>
            <wp:effectExtent l="0" t="0" r="635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4014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713470" cy="1579245"/>
            <wp:effectExtent l="0" t="0" r="5715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1347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8240BF"/>
    <w:multiLevelType w:val="singleLevel"/>
    <w:tmpl w:val="4F8240BF"/>
    <w:lvl w:ilvl="0" w:tentative="0">
      <w:start w:val="4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ODJhZjA5Mjc4NGFlNzNmOTNlNzk3ZmMzMDZkNzEifQ=="/>
  </w:docVars>
  <w:rsids>
    <w:rsidRoot w:val="28C32CA0"/>
    <w:rsid w:val="10844FD5"/>
    <w:rsid w:val="11A726C0"/>
    <w:rsid w:val="17D61886"/>
    <w:rsid w:val="1AC60FB4"/>
    <w:rsid w:val="1DAE4226"/>
    <w:rsid w:val="23EC401C"/>
    <w:rsid w:val="28C32CA0"/>
    <w:rsid w:val="33D64125"/>
    <w:rsid w:val="46E03DDE"/>
    <w:rsid w:val="4F3D31CE"/>
    <w:rsid w:val="59E0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List"/>
    <w:basedOn w:val="1"/>
    <w:autoRedefine/>
    <w:unhideWhenUsed/>
    <w:qFormat/>
    <w:uiPriority w:val="99"/>
    <w:pPr>
      <w:ind w:left="200" w:hanging="200" w:hangingChars="200"/>
      <w:contextualSpacing/>
    </w:p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2024-01-04T01:52:00Z</dcterms:created>
  <dc:creator>陈磊</dc:creator>
  <cp:lastModifiedBy>陈磊</cp:lastModifiedBy>
  <dcterms:modified xsi:type="dcterms:W3CDTF">2024-02-27T08:30:13Z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5C8083DDD0E942F693432174ADF536CE_13</vt:lpwstr>
  </property>
</Properties>
</file>